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3"/>
  <w:body>
    <w:tbl>
      <w:tblPr>
        <w:tblStyle w:val="38"/>
        <w:tblW w:w="2745" w:type="dxa"/>
        <w:tblInd w:w="5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45" w:type="dxa"/>
            <w:vAlign w:val="center"/>
          </w:tcPr>
          <w:p>
            <w:pPr>
              <w:jc w:val="center"/>
              <w:rPr>
                <w:rFonts w:ascii="Times New Roman" w:hAnsi="Times New Roman" w:eastAsia="仿宋_GB2312"/>
                <w:sz w:val="24"/>
              </w:rPr>
            </w:pPr>
            <w:bookmarkStart w:id="15" w:name="_GoBack"/>
            <w:bookmarkEnd w:id="15"/>
            <w:r>
              <w:rPr>
                <w:rFonts w:ascii="Times New Roman" w:hAnsi="Times New Roman" w:eastAsia="仿宋_GB2312"/>
                <w:sz w:val="24"/>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45" w:type="dxa"/>
            <w:vAlign w:val="center"/>
          </w:tcPr>
          <w:p>
            <w:pPr>
              <w:widowControl/>
              <w:jc w:val="center"/>
              <w:rPr>
                <w:rFonts w:ascii="Times New Roman" w:hAnsi="Times New Roman" w:eastAsia="仿宋_GB2312"/>
                <w:sz w:val="24"/>
              </w:rPr>
            </w:pPr>
            <w:r>
              <w:rPr>
                <w:rFonts w:ascii="Times New Roman" w:hAnsi="Times New Roman" w:eastAsia="仿宋_GB2312"/>
                <w:sz w:val="24"/>
              </w:rPr>
              <w:t>NJUAE210123-02BA</w:t>
            </w:r>
          </w:p>
        </w:tc>
      </w:tr>
    </w:tbl>
    <w:p>
      <w:pPr>
        <w:rPr>
          <w:rFonts w:ascii="Times New Roman" w:hAnsi="Times New Roman" w:eastAsia="仿宋_GB2312"/>
          <w:b/>
          <w:bCs/>
          <w:sz w:val="48"/>
        </w:rPr>
      </w:pPr>
    </w:p>
    <w:p>
      <w:pPr>
        <w:jc w:val="center"/>
        <w:rPr>
          <w:rFonts w:ascii="Times New Roman" w:hAnsi="Times New Roman" w:eastAsia="仿宋_GB2312"/>
          <w:b/>
          <w:bCs/>
          <w:sz w:val="48"/>
        </w:rPr>
      </w:pPr>
    </w:p>
    <w:p>
      <w:pPr>
        <w:spacing w:line="360" w:lineRule="auto"/>
        <w:jc w:val="center"/>
        <w:rPr>
          <w:rFonts w:ascii="Times New Roman" w:hAnsi="Times New Roman" w:eastAsia="仿宋_GB2312"/>
          <w:b/>
          <w:bCs/>
          <w:w w:val="110"/>
          <w:kern w:val="144"/>
          <w:sz w:val="52"/>
          <w:szCs w:val="52"/>
        </w:rPr>
      </w:pPr>
      <w:r>
        <w:rPr>
          <w:rFonts w:ascii="Times New Roman" w:hAnsi="Times New Roman" w:eastAsia="仿宋_GB2312"/>
          <w:b/>
          <w:bCs/>
          <w:w w:val="110"/>
          <w:kern w:val="144"/>
          <w:sz w:val="52"/>
          <w:szCs w:val="52"/>
        </w:rPr>
        <w:t>建设项目环境影响报告表</w:t>
      </w:r>
    </w:p>
    <w:p>
      <w:pPr>
        <w:spacing w:line="360" w:lineRule="auto"/>
        <w:rPr>
          <w:rFonts w:ascii="Times New Roman" w:hAnsi="Times New Roman" w:eastAsia="仿宋_GB2312"/>
          <w:b/>
          <w:bCs/>
          <w:sz w:val="40"/>
        </w:rPr>
      </w:pPr>
    </w:p>
    <w:p>
      <w:pPr>
        <w:jc w:val="center"/>
        <w:rPr>
          <w:rFonts w:ascii="Times New Roman" w:hAnsi="Times New Roman" w:eastAsia="仿宋_GB2312"/>
          <w:sz w:val="32"/>
        </w:rPr>
      </w:pPr>
    </w:p>
    <w:p>
      <w:pPr>
        <w:jc w:val="center"/>
        <w:rPr>
          <w:rFonts w:ascii="Times New Roman" w:hAnsi="Times New Roman" w:eastAsia="仿宋_GB2312"/>
          <w:sz w:val="32"/>
        </w:rPr>
      </w:pPr>
    </w:p>
    <w:p>
      <w:pPr>
        <w:jc w:val="center"/>
        <w:rPr>
          <w:rFonts w:ascii="Times New Roman" w:hAnsi="Times New Roman" w:eastAsia="仿宋_GB2312"/>
          <w:sz w:val="32"/>
        </w:rPr>
      </w:pPr>
    </w:p>
    <w:p>
      <w:pPr>
        <w:jc w:val="center"/>
        <w:rPr>
          <w:rFonts w:ascii="Times New Roman" w:hAnsi="Times New Roman" w:eastAsia="仿宋_GB2312"/>
          <w:sz w:val="32"/>
        </w:rPr>
      </w:pPr>
    </w:p>
    <w:p>
      <w:pPr>
        <w:jc w:val="center"/>
        <w:rPr>
          <w:rFonts w:ascii="Times New Roman" w:hAnsi="Times New Roman" w:eastAsia="仿宋_GB2312"/>
          <w:sz w:val="32"/>
        </w:rPr>
      </w:pPr>
    </w:p>
    <w:p>
      <w:pPr>
        <w:spacing w:line="360" w:lineRule="auto"/>
        <w:jc w:val="center"/>
        <w:rPr>
          <w:rFonts w:ascii="Times New Roman" w:hAnsi="Times New Roman" w:eastAsia="仿宋_GB2312"/>
          <w:sz w:val="32"/>
        </w:rPr>
      </w:pPr>
    </w:p>
    <w:p>
      <w:pPr>
        <w:spacing w:line="360" w:lineRule="auto"/>
        <w:jc w:val="center"/>
        <w:rPr>
          <w:rFonts w:ascii="Times New Roman" w:hAnsi="Times New Roman" w:eastAsia="仿宋_GB2312"/>
          <w:sz w:val="32"/>
        </w:rPr>
      </w:pPr>
    </w:p>
    <w:p>
      <w:pPr>
        <w:spacing w:line="360" w:lineRule="auto"/>
        <w:jc w:val="left"/>
        <w:rPr>
          <w:rFonts w:ascii="Times New Roman" w:hAnsi="Times New Roman" w:eastAsia="仿宋_GB2312"/>
          <w:b/>
          <w:bCs/>
          <w:sz w:val="32"/>
          <w:u w:val="single"/>
        </w:rPr>
      </w:pPr>
      <w:r>
        <w:rPr>
          <w:rFonts w:ascii="Times New Roman" w:hAnsi="Times New Roman" w:eastAsia="仿宋_GB2312"/>
          <w:b/>
          <w:bCs/>
          <w:sz w:val="32"/>
        </w:rPr>
        <w:t>项目名称</w:t>
      </w:r>
      <w:r>
        <w:rPr>
          <w:rFonts w:ascii="Times New Roman" w:hAnsi="Times New Roman" w:eastAsia="仿宋_GB2312"/>
          <w:sz w:val="32"/>
        </w:rPr>
        <w:t>：</w:t>
      </w:r>
      <w:r>
        <w:rPr>
          <w:rFonts w:hint="eastAsia" w:ascii="Times New Roman" w:hAnsi="Times New Roman" w:eastAsia="仿宋_GB2312"/>
          <w:b/>
          <w:bCs/>
          <w:sz w:val="32"/>
          <w:u w:val="single"/>
        </w:rPr>
        <w:t>凤凰西街241号实验楼（北楼）内部整修工程</w:t>
      </w:r>
      <w:r>
        <w:rPr>
          <w:rFonts w:ascii="Times New Roman" w:hAnsi="Times New Roman" w:eastAsia="仿宋_GB2312"/>
          <w:b/>
          <w:bCs/>
          <w:sz w:val="32"/>
          <w:u w:val="single"/>
        </w:rPr>
        <w:t xml:space="preserve">      </w:t>
      </w:r>
    </w:p>
    <w:p>
      <w:pPr>
        <w:spacing w:line="360" w:lineRule="auto"/>
        <w:ind w:right="-59" w:rightChars="-28"/>
        <w:rPr>
          <w:rFonts w:ascii="Times New Roman" w:hAnsi="Times New Roman" w:eastAsia="仿宋_GB2312"/>
          <w:sz w:val="30"/>
          <w:u w:val="single"/>
        </w:rPr>
      </w:pPr>
    </w:p>
    <w:p>
      <w:pPr>
        <w:spacing w:line="360" w:lineRule="auto"/>
        <w:rPr>
          <w:rFonts w:ascii="Times New Roman" w:hAnsi="Times New Roman" w:eastAsia="仿宋_GB2312"/>
          <w:b/>
          <w:sz w:val="32"/>
          <w:szCs w:val="32"/>
          <w:u w:val="single"/>
        </w:rPr>
      </w:pPr>
      <w:r>
        <w:rPr>
          <w:rFonts w:ascii="Times New Roman" w:hAnsi="Times New Roman" w:eastAsia="仿宋_GB2312"/>
          <w:b/>
          <w:bCs/>
          <w:sz w:val="32"/>
        </w:rPr>
        <w:t>建设单位（盖章）：</w:t>
      </w:r>
      <w:r>
        <w:rPr>
          <w:rFonts w:ascii="Times New Roman" w:hAnsi="Times New Roman" w:eastAsia="仿宋_GB2312"/>
          <w:b/>
          <w:bCs/>
          <w:sz w:val="32"/>
          <w:u w:val="single"/>
        </w:rPr>
        <w:t xml:space="preserve"> </w:t>
      </w:r>
      <w:r>
        <w:rPr>
          <w:rFonts w:hint="eastAsia" w:ascii="Times New Roman" w:hAnsi="Times New Roman" w:eastAsia="仿宋_GB2312"/>
          <w:b/>
          <w:bCs/>
          <w:sz w:val="32"/>
          <w:u w:val="single"/>
        </w:rPr>
        <w:t xml:space="preserve">江苏省环境科学研究院 </w:t>
      </w:r>
    </w:p>
    <w:p>
      <w:pPr>
        <w:rPr>
          <w:rFonts w:ascii="Times New Roman" w:hAnsi="Times New Roman" w:eastAsia="仿宋_GB2312"/>
          <w:sz w:val="36"/>
        </w:rPr>
      </w:pPr>
      <w:r>
        <w:rPr>
          <w:rFonts w:ascii="Times New Roman" w:hAnsi="Times New Roman" w:eastAsia="仿宋_GB2312"/>
          <w:sz w:val="36"/>
        </w:rPr>
        <w:t xml:space="preserve"> </w:t>
      </w:r>
    </w:p>
    <w:p>
      <w:pPr>
        <w:rPr>
          <w:rFonts w:ascii="Times New Roman" w:hAnsi="Times New Roman" w:eastAsia="仿宋_GB2312"/>
          <w:sz w:val="36"/>
        </w:rPr>
      </w:pPr>
    </w:p>
    <w:p>
      <w:pPr>
        <w:rPr>
          <w:rFonts w:ascii="Times New Roman" w:hAnsi="Times New Roman" w:eastAsia="仿宋_GB2312"/>
          <w:sz w:val="36"/>
        </w:rPr>
      </w:pPr>
    </w:p>
    <w:p>
      <w:pPr>
        <w:rPr>
          <w:rFonts w:ascii="Times New Roman" w:hAnsi="Times New Roman" w:eastAsia="仿宋_GB2312"/>
          <w:sz w:val="36"/>
        </w:rPr>
      </w:pPr>
    </w:p>
    <w:p>
      <w:pPr>
        <w:rPr>
          <w:rFonts w:ascii="Times New Roman" w:hAnsi="Times New Roman" w:eastAsia="仿宋_GB2312"/>
          <w:sz w:val="36"/>
        </w:rPr>
      </w:pPr>
    </w:p>
    <w:p>
      <w:pPr>
        <w:rPr>
          <w:rFonts w:ascii="Times New Roman" w:hAnsi="Times New Roman" w:eastAsia="仿宋_GB2312"/>
          <w:sz w:val="36"/>
        </w:rPr>
      </w:pPr>
    </w:p>
    <w:p>
      <w:pPr>
        <w:rPr>
          <w:rFonts w:ascii="Times New Roman" w:hAnsi="Times New Roman" w:eastAsia="仿宋_GB2312"/>
          <w:sz w:val="36"/>
        </w:rPr>
      </w:pPr>
    </w:p>
    <w:p>
      <w:pPr>
        <w:spacing w:line="360" w:lineRule="auto"/>
        <w:jc w:val="center"/>
        <w:rPr>
          <w:rFonts w:ascii="Times New Roman" w:hAnsi="Times New Roman" w:eastAsia="仿宋_GB2312"/>
          <w:color w:val="FF0000"/>
          <w:sz w:val="30"/>
          <w:szCs w:val="30"/>
        </w:rPr>
      </w:pPr>
      <w:r>
        <w:rPr>
          <w:rFonts w:ascii="Times New Roman" w:hAnsi="Times New Roman" w:eastAsia="仿宋_GB2312"/>
          <w:b/>
          <w:bCs/>
          <w:sz w:val="30"/>
          <w:szCs w:val="30"/>
        </w:rPr>
        <w:t>编制日期：2021年3月</w:t>
      </w:r>
    </w:p>
    <w:p>
      <w:pPr>
        <w:spacing w:line="360" w:lineRule="auto"/>
        <w:jc w:val="center"/>
        <w:rPr>
          <w:rFonts w:ascii="Times New Roman" w:hAnsi="Times New Roman" w:eastAsia="仿宋_GB2312"/>
          <w:b/>
          <w:bCs/>
          <w:sz w:val="30"/>
          <w:szCs w:val="30"/>
        </w:rPr>
      </w:pPr>
      <w:r>
        <w:rPr>
          <w:rFonts w:ascii="Times New Roman" w:hAnsi="Times New Roman" w:eastAsia="仿宋_GB2312"/>
          <w:b/>
          <w:bCs/>
          <w:sz w:val="30"/>
          <w:szCs w:val="30"/>
        </w:rPr>
        <w:t>江苏省环境保护厅</w:t>
      </w:r>
    </w:p>
    <w:p>
      <w:pPr>
        <w:spacing w:line="360" w:lineRule="auto"/>
        <w:jc w:val="center"/>
        <w:rPr>
          <w:rFonts w:ascii="Times New Roman" w:hAnsi="Times New Roman" w:eastAsia="仿宋_GB2312"/>
          <w:b/>
          <w:bCs/>
          <w:sz w:val="30"/>
          <w:szCs w:val="30"/>
        </w:rPr>
      </w:pPr>
    </w:p>
    <w:p>
      <w:pPr>
        <w:spacing w:line="360" w:lineRule="auto"/>
        <w:jc w:val="center"/>
        <w:rPr>
          <w:rFonts w:ascii="Times New Roman" w:hAnsi="Times New Roman" w:eastAsia="仿宋_GB2312"/>
          <w:b/>
          <w:bCs/>
          <w:sz w:val="30"/>
          <w:szCs w:val="30"/>
        </w:rPr>
      </w:pPr>
    </w:p>
    <w:p>
      <w:pPr>
        <w:spacing w:line="360" w:lineRule="auto"/>
        <w:jc w:val="center"/>
        <w:rPr>
          <w:rFonts w:ascii="Times New Roman" w:hAnsi="Times New Roman" w:eastAsia="仿宋_GB2312"/>
          <w:b/>
          <w:bCs/>
          <w:sz w:val="30"/>
          <w:szCs w:val="30"/>
        </w:rPr>
      </w:pPr>
    </w:p>
    <w:p>
      <w:pPr>
        <w:spacing w:line="360" w:lineRule="auto"/>
        <w:jc w:val="center"/>
        <w:rPr>
          <w:rFonts w:ascii="Times New Roman" w:hAnsi="Times New Roman" w:eastAsia="仿宋_GB2312"/>
          <w:sz w:val="28"/>
        </w:rPr>
      </w:pPr>
      <w:r>
        <w:rPr>
          <w:rFonts w:ascii="Times New Roman" w:hAnsi="Times New Roman" w:eastAsia="仿宋_GB2312"/>
          <w:sz w:val="28"/>
        </w:rPr>
        <w:t>《建设项目环境影响报告表》编制说明</w:t>
      </w:r>
    </w:p>
    <w:p>
      <w:pPr>
        <w:spacing w:line="360" w:lineRule="auto"/>
        <w:rPr>
          <w:rFonts w:ascii="Times New Roman" w:hAnsi="Times New Roman" w:eastAsia="仿宋_GB2312"/>
          <w:sz w:val="28"/>
        </w:rPr>
      </w:pP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《建设项目环境影响报告表》由具有从事环境影响评价工作资质的单位编制。</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1．项目名称——指项目立项批复时的名称，应不超过30个字（两个英文字段作一个汉字）。</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2．建设地点——指项目所在地详细地址，公路、铁路应填写起止地点。</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3．行业类别——按国标填写。</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4．总投资——指项目投资总额。</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5．主要环境保护目标 —— 指项目区周围一定范围内集中居民住宅区、学校、医院、保护文物、风景名胜区、水源地和生态敏感点等，应尽可能给出保护目标、性质、规模和距厂界距离等。</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6．结论与建议 —— 给出本项目清洁生产、达标排放和总量控制的分析结论，确定污染防治措施的有效性，说明本项目对环境造成的影响，给出建设项目环境可行性的明确结论。同时提出减少环境影响的其它建议。</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7．预审意见——由行业主管部门填写答复意见，无主管部门项目，可不填。</w:t>
      </w:r>
    </w:p>
    <w:p>
      <w:pPr>
        <w:spacing w:line="360" w:lineRule="auto"/>
        <w:ind w:firstLine="480" w:firstLineChars="200"/>
        <w:rPr>
          <w:rFonts w:ascii="Times New Roman" w:hAnsi="Times New Roman" w:eastAsia="仿宋_GB2312"/>
          <w:sz w:val="24"/>
        </w:rPr>
      </w:pPr>
      <w:r>
        <w:rPr>
          <w:rFonts w:ascii="Times New Roman" w:hAnsi="Times New Roman" w:eastAsia="仿宋_GB2312"/>
          <w:sz w:val="24"/>
        </w:rPr>
        <w:t>8．审批意见——由负责审批该项目的环境保护行政主管部门批复。</w:t>
      </w:r>
    </w:p>
    <w:p>
      <w:pPr>
        <w:spacing w:line="360" w:lineRule="auto"/>
        <w:ind w:firstLine="480" w:firstLineChars="200"/>
        <w:rPr>
          <w:rFonts w:eastAsia="仿宋_GB2312"/>
          <w:sz w:val="24"/>
        </w:rPr>
      </w:pPr>
      <w:r>
        <w:rPr>
          <w:rFonts w:eastAsia="仿宋_GB2312"/>
          <w:sz w:val="24"/>
        </w:rPr>
        <w:br w:type="page"/>
      </w: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一、建设项目基本情况</w:t>
      </w:r>
    </w:p>
    <w:tbl>
      <w:tblPr>
        <w:tblStyle w:val="38"/>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02"/>
        <w:gridCol w:w="391"/>
        <w:gridCol w:w="1275"/>
        <w:gridCol w:w="1418"/>
        <w:gridCol w:w="1417"/>
        <w:gridCol w:w="126"/>
        <w:gridCol w:w="410"/>
        <w:gridCol w:w="494"/>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pStyle w:val="86"/>
              <w:snapToGrid/>
              <w:spacing w:line="240" w:lineRule="auto"/>
              <w:rPr>
                <w:rFonts w:ascii="Times New Roman" w:hAnsi="Times New Roman" w:eastAsia="仿宋_GB2312"/>
                <w:color w:val="000000"/>
                <w:spacing w:val="0"/>
                <w:kern w:val="2"/>
                <w:szCs w:val="21"/>
              </w:rPr>
            </w:pPr>
            <w:r>
              <w:rPr>
                <w:rFonts w:ascii="Times New Roman" w:hAnsi="Times New Roman" w:eastAsia="仿宋_GB2312"/>
                <w:color w:val="000000"/>
                <w:spacing w:val="0"/>
                <w:kern w:val="2"/>
                <w:szCs w:val="21"/>
              </w:rPr>
              <w:t>项目名称</w:t>
            </w:r>
          </w:p>
        </w:tc>
        <w:tc>
          <w:tcPr>
            <w:tcW w:w="7331" w:type="dxa"/>
            <w:gridSpan w:val="9"/>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凤凰西街2</w:t>
            </w:r>
            <w:r>
              <w:rPr>
                <w:rFonts w:ascii="Times New Roman" w:hAnsi="Times New Roman" w:eastAsia="仿宋_GB2312"/>
                <w:color w:val="000000"/>
                <w:szCs w:val="21"/>
              </w:rPr>
              <w:t>41</w:t>
            </w:r>
            <w:r>
              <w:rPr>
                <w:rFonts w:hint="eastAsia" w:ascii="Times New Roman" w:hAnsi="Times New Roman" w:eastAsia="仿宋_GB2312"/>
                <w:color w:val="000000"/>
                <w:szCs w:val="21"/>
              </w:rPr>
              <w:t>号实验楼（北楼）内部整修工程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96" w:type="dxa"/>
            <w:vAlign w:val="center"/>
          </w:tcPr>
          <w:p>
            <w:pPr>
              <w:pStyle w:val="86"/>
              <w:snapToGrid/>
              <w:spacing w:line="240" w:lineRule="auto"/>
              <w:rPr>
                <w:rFonts w:ascii="Times New Roman" w:hAnsi="Times New Roman" w:eastAsia="仿宋_GB2312"/>
                <w:color w:val="000000"/>
                <w:spacing w:val="0"/>
                <w:kern w:val="2"/>
                <w:szCs w:val="21"/>
              </w:rPr>
            </w:pPr>
            <w:r>
              <w:rPr>
                <w:rFonts w:hint="eastAsia" w:ascii="Times New Roman" w:hAnsi="Times New Roman" w:eastAsia="仿宋_GB2312"/>
                <w:color w:val="000000"/>
                <w:spacing w:val="0"/>
                <w:kern w:val="2"/>
                <w:szCs w:val="21"/>
              </w:rPr>
              <w:t>建设单位</w:t>
            </w:r>
          </w:p>
        </w:tc>
        <w:tc>
          <w:tcPr>
            <w:tcW w:w="7331" w:type="dxa"/>
            <w:gridSpan w:val="9"/>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江苏省环境科学研究院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pStyle w:val="86"/>
              <w:snapToGrid/>
              <w:spacing w:line="240" w:lineRule="auto"/>
              <w:rPr>
                <w:rFonts w:ascii="Times New Roman" w:hAnsi="Times New Roman" w:eastAsia="仿宋_GB2312"/>
                <w:color w:val="000000"/>
                <w:spacing w:val="0"/>
                <w:kern w:val="2"/>
                <w:szCs w:val="21"/>
              </w:rPr>
            </w:pPr>
            <w:r>
              <w:rPr>
                <w:rFonts w:hint="eastAsia" w:ascii="Times New Roman" w:hAnsi="Times New Roman" w:eastAsia="仿宋_GB2312"/>
                <w:color w:val="000000"/>
                <w:spacing w:val="0"/>
                <w:kern w:val="2"/>
                <w:szCs w:val="21"/>
              </w:rPr>
              <w:t>法人代表</w:t>
            </w:r>
          </w:p>
        </w:tc>
        <w:tc>
          <w:tcPr>
            <w:tcW w:w="3686" w:type="dxa"/>
            <w:gridSpan w:val="4"/>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刘伟京</w:t>
            </w:r>
          </w:p>
        </w:tc>
        <w:tc>
          <w:tcPr>
            <w:tcW w:w="1543" w:type="dxa"/>
            <w:gridSpan w:val="2"/>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联系人</w:t>
            </w:r>
          </w:p>
        </w:tc>
        <w:tc>
          <w:tcPr>
            <w:tcW w:w="2102" w:type="dxa"/>
            <w:gridSpan w:val="3"/>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周宜一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pStyle w:val="86"/>
              <w:snapToGrid/>
              <w:spacing w:line="240" w:lineRule="auto"/>
              <w:rPr>
                <w:rFonts w:ascii="Times New Roman" w:hAnsi="Times New Roman" w:eastAsia="仿宋_GB2312"/>
                <w:color w:val="000000"/>
                <w:spacing w:val="0"/>
                <w:kern w:val="2"/>
                <w:szCs w:val="21"/>
              </w:rPr>
            </w:pPr>
            <w:r>
              <w:rPr>
                <w:rFonts w:hint="eastAsia" w:ascii="Times New Roman" w:hAnsi="Times New Roman" w:eastAsia="仿宋_GB2312"/>
                <w:color w:val="000000"/>
                <w:spacing w:val="0"/>
                <w:kern w:val="2"/>
                <w:szCs w:val="21"/>
              </w:rPr>
              <w:t>通讯地址</w:t>
            </w:r>
          </w:p>
        </w:tc>
        <w:tc>
          <w:tcPr>
            <w:tcW w:w="7331" w:type="dxa"/>
            <w:gridSpan w:val="9"/>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江苏省南京市鼓楼区江东北路176号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696" w:type="dxa"/>
            <w:vAlign w:val="center"/>
          </w:tcPr>
          <w:p>
            <w:pPr>
              <w:pStyle w:val="86"/>
              <w:snapToGrid/>
              <w:spacing w:line="240" w:lineRule="auto"/>
              <w:rPr>
                <w:rFonts w:ascii="Times New Roman" w:hAnsi="Times New Roman" w:eastAsia="仿宋_GB2312"/>
                <w:color w:val="000000"/>
                <w:spacing w:val="0"/>
                <w:kern w:val="2"/>
                <w:szCs w:val="21"/>
              </w:rPr>
            </w:pPr>
            <w:r>
              <w:rPr>
                <w:rFonts w:hint="eastAsia" w:ascii="Times New Roman" w:hAnsi="Times New Roman" w:eastAsia="仿宋_GB2312"/>
                <w:color w:val="000000"/>
                <w:spacing w:val="0"/>
                <w:kern w:val="2"/>
                <w:szCs w:val="21"/>
              </w:rPr>
              <w:t>联系电话</w:t>
            </w:r>
          </w:p>
        </w:tc>
        <w:tc>
          <w:tcPr>
            <w:tcW w:w="2268" w:type="dxa"/>
            <w:gridSpan w:val="3"/>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025-58527837</w:t>
            </w:r>
          </w:p>
        </w:tc>
        <w:tc>
          <w:tcPr>
            <w:tcW w:w="1418" w:type="dxa"/>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传真</w:t>
            </w:r>
          </w:p>
        </w:tc>
        <w:tc>
          <w:tcPr>
            <w:tcW w:w="1417" w:type="dxa"/>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w:t>
            </w:r>
          </w:p>
        </w:tc>
        <w:tc>
          <w:tcPr>
            <w:tcW w:w="1030" w:type="dxa"/>
            <w:gridSpan w:val="3"/>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邮政编码</w:t>
            </w:r>
          </w:p>
        </w:tc>
        <w:tc>
          <w:tcPr>
            <w:tcW w:w="1198" w:type="dxa"/>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2</w:t>
            </w:r>
            <w:r>
              <w:rPr>
                <w:rFonts w:ascii="Times New Roman" w:hAnsi="Times New Roman" w:eastAsia="仿宋_GB2312"/>
                <w:color w:val="000000"/>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建设地点</w:t>
            </w:r>
          </w:p>
        </w:tc>
        <w:tc>
          <w:tcPr>
            <w:tcW w:w="7331" w:type="dxa"/>
            <w:gridSpan w:val="9"/>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江苏省南京市鼓楼区凤凰西街241号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adjustRightInd w:val="0"/>
              <w:snapToGrid w:val="0"/>
              <w:jc w:val="center"/>
              <w:rPr>
                <w:rFonts w:ascii="仿宋_GB2312" w:hAnsi="宋体" w:eastAsia="仿宋_GB2312" w:cs="宋体"/>
                <w:szCs w:val="21"/>
              </w:rPr>
            </w:pPr>
            <w:r>
              <w:rPr>
                <w:rFonts w:hint="eastAsia" w:ascii="仿宋_GB2312" w:hAnsi="宋体" w:eastAsia="仿宋_GB2312" w:cs="宋体"/>
                <w:szCs w:val="21"/>
              </w:rPr>
              <w:t>立项审批部门</w:t>
            </w:r>
          </w:p>
        </w:tc>
        <w:tc>
          <w:tcPr>
            <w:tcW w:w="3686" w:type="dxa"/>
            <w:gridSpan w:val="4"/>
            <w:vAlign w:val="center"/>
          </w:tcPr>
          <w:p>
            <w:pPr>
              <w:jc w:val="center"/>
              <w:rPr>
                <w:rFonts w:ascii="仿宋_GB2312" w:hAnsi="宋体" w:eastAsia="仿宋_GB2312" w:cs="宋体"/>
                <w:szCs w:val="21"/>
              </w:rPr>
            </w:pPr>
            <w:r>
              <w:rPr>
                <w:rFonts w:hint="eastAsia" w:ascii="仿宋_GB2312" w:hAnsi="宋体" w:eastAsia="仿宋_GB2312" w:cs="宋体"/>
                <w:szCs w:val="21"/>
              </w:rPr>
              <w:t>南京市鼓楼区行政审批局</w:t>
            </w:r>
          </w:p>
        </w:tc>
        <w:tc>
          <w:tcPr>
            <w:tcW w:w="1417" w:type="dxa"/>
            <w:vAlign w:val="center"/>
          </w:tcPr>
          <w:p>
            <w:pPr>
              <w:adjustRightInd w:val="0"/>
              <w:snapToGrid w:val="0"/>
              <w:jc w:val="center"/>
              <w:rPr>
                <w:rFonts w:ascii="仿宋_GB2312" w:hAnsi="宋体" w:eastAsia="仿宋_GB2312" w:cs="宋体"/>
                <w:szCs w:val="21"/>
              </w:rPr>
            </w:pPr>
            <w:r>
              <w:rPr>
                <w:rFonts w:hint="eastAsia" w:ascii="仿宋_GB2312" w:hAnsi="宋体" w:eastAsia="仿宋_GB2312" w:cs="宋体"/>
                <w:szCs w:val="21"/>
              </w:rPr>
              <w:t>批准文号</w:t>
            </w:r>
          </w:p>
        </w:tc>
        <w:tc>
          <w:tcPr>
            <w:tcW w:w="2228" w:type="dxa"/>
            <w:gridSpan w:val="4"/>
            <w:vAlign w:val="center"/>
          </w:tcPr>
          <w:p>
            <w:pPr>
              <w:jc w:val="left"/>
              <w:rPr>
                <w:rFonts w:ascii="Times New Roman" w:hAnsi="Times New Roman" w:eastAsia="仿宋_GB2312"/>
                <w:szCs w:val="21"/>
              </w:rPr>
            </w:pPr>
            <w:r>
              <w:rPr>
                <w:rFonts w:hint="eastAsia" w:ascii="Times New Roman" w:hAnsi="Times New Roman" w:eastAsia="仿宋_GB2312"/>
                <w:szCs w:val="21"/>
              </w:rPr>
              <w:t>鼓行审备[</w:t>
            </w:r>
            <w:r>
              <w:rPr>
                <w:rFonts w:ascii="Times New Roman" w:hAnsi="Times New Roman" w:eastAsia="仿宋_GB2312"/>
                <w:szCs w:val="21"/>
              </w:rPr>
              <w:t>2020]161</w:t>
            </w:r>
            <w:r>
              <w:rPr>
                <w:rFonts w:hint="eastAsia" w:ascii="Times New Roman" w:hAnsi="Times New Roman" w:eastAsia="仿宋_GB2312"/>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建设性质</w:t>
            </w:r>
          </w:p>
        </w:tc>
        <w:tc>
          <w:tcPr>
            <w:tcW w:w="3686" w:type="dxa"/>
            <w:gridSpan w:val="4"/>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改建</w:t>
            </w:r>
          </w:p>
        </w:tc>
        <w:tc>
          <w:tcPr>
            <w:tcW w:w="1417"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行业类别及代码</w:t>
            </w:r>
          </w:p>
        </w:tc>
        <w:tc>
          <w:tcPr>
            <w:tcW w:w="2228" w:type="dxa"/>
            <w:gridSpan w:val="4"/>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M7461环境保护监测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占地面积</w:t>
            </w:r>
          </w:p>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（平方米）</w:t>
            </w:r>
          </w:p>
        </w:tc>
        <w:tc>
          <w:tcPr>
            <w:tcW w:w="993" w:type="dxa"/>
            <w:gridSpan w:val="2"/>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1488.65</w:t>
            </w:r>
          </w:p>
        </w:tc>
        <w:tc>
          <w:tcPr>
            <w:tcW w:w="1275"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建筑面积</w:t>
            </w:r>
            <w:r>
              <w:rPr>
                <w:rFonts w:hint="eastAsia" w:ascii="Times New Roman" w:hAnsi="Times New Roman" w:eastAsia="仿宋_GB2312"/>
                <w:bCs/>
                <w:szCs w:val="21"/>
              </w:rPr>
              <w:t>（平方米）</w:t>
            </w:r>
          </w:p>
        </w:tc>
        <w:tc>
          <w:tcPr>
            <w:tcW w:w="1418" w:type="dxa"/>
            <w:vAlign w:val="center"/>
          </w:tcPr>
          <w:p>
            <w:pPr>
              <w:adjustRightInd w:val="0"/>
              <w:snapToGrid w:val="0"/>
              <w:jc w:val="center"/>
              <w:rPr>
                <w:rFonts w:ascii="Times New Roman" w:hAnsi="Times New Roman" w:eastAsia="仿宋_GB2312"/>
                <w:bCs/>
                <w:szCs w:val="21"/>
              </w:rPr>
            </w:pPr>
            <w:r>
              <w:rPr>
                <w:rFonts w:ascii="Times New Roman" w:hAnsi="Times New Roman" w:eastAsia="仿宋_GB2312"/>
                <w:bCs/>
                <w:szCs w:val="21"/>
              </w:rPr>
              <w:t>3997</w:t>
            </w:r>
          </w:p>
        </w:tc>
        <w:tc>
          <w:tcPr>
            <w:tcW w:w="1417"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绿化面积</w:t>
            </w:r>
          </w:p>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（平方米）</w:t>
            </w:r>
          </w:p>
        </w:tc>
        <w:tc>
          <w:tcPr>
            <w:tcW w:w="2228" w:type="dxa"/>
            <w:gridSpan w:val="4"/>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总投资（万元）</w:t>
            </w:r>
          </w:p>
        </w:tc>
        <w:tc>
          <w:tcPr>
            <w:tcW w:w="993" w:type="dxa"/>
            <w:gridSpan w:val="2"/>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908.2</w:t>
            </w:r>
          </w:p>
        </w:tc>
        <w:tc>
          <w:tcPr>
            <w:tcW w:w="1275"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其中：环保投资（万元）</w:t>
            </w:r>
          </w:p>
        </w:tc>
        <w:tc>
          <w:tcPr>
            <w:tcW w:w="1418"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1</w:t>
            </w:r>
            <w:r>
              <w:rPr>
                <w:rFonts w:ascii="Times New Roman" w:hAnsi="Times New Roman" w:eastAsia="仿宋_GB2312"/>
                <w:szCs w:val="21"/>
              </w:rPr>
              <w:t>00</w:t>
            </w:r>
          </w:p>
        </w:tc>
        <w:tc>
          <w:tcPr>
            <w:tcW w:w="1417" w:type="dxa"/>
            <w:vAlign w:val="center"/>
          </w:tcPr>
          <w:p>
            <w:pPr>
              <w:adjustRightInd w:val="0"/>
              <w:snapToGrid w:val="0"/>
              <w:jc w:val="center"/>
              <w:rPr>
                <w:rFonts w:ascii="Times New Roman" w:hAnsi="Times New Roman" w:eastAsia="仿宋_GB2312"/>
                <w:szCs w:val="21"/>
              </w:rPr>
            </w:pPr>
            <w:r>
              <w:rPr>
                <w:rFonts w:hint="eastAsia" w:ascii="Times New Roman" w:hAnsi="Times New Roman" w:eastAsia="仿宋_GB2312"/>
                <w:szCs w:val="21"/>
              </w:rPr>
              <w:t>环保投资占总投资比例</w:t>
            </w:r>
          </w:p>
        </w:tc>
        <w:tc>
          <w:tcPr>
            <w:tcW w:w="2228" w:type="dxa"/>
            <w:gridSpan w:val="4"/>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11.01</w:t>
            </w:r>
            <w:r>
              <w:rPr>
                <w:rFonts w:hint="eastAsia" w:ascii="Times New Roman" w:hAnsi="Times New Roman"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评价经费</w:t>
            </w:r>
          </w:p>
        </w:tc>
        <w:tc>
          <w:tcPr>
            <w:tcW w:w="3686" w:type="dxa"/>
            <w:gridSpan w:val="4"/>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w:t>
            </w:r>
          </w:p>
        </w:tc>
        <w:tc>
          <w:tcPr>
            <w:tcW w:w="1417" w:type="dxa"/>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预计投产日期</w:t>
            </w:r>
          </w:p>
        </w:tc>
        <w:tc>
          <w:tcPr>
            <w:tcW w:w="2228" w:type="dxa"/>
            <w:gridSpan w:val="4"/>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2</w:t>
            </w:r>
            <w:r>
              <w:rPr>
                <w:rFonts w:ascii="Times New Roman" w:hAnsi="Times New Roman" w:eastAsia="仿宋_GB2312"/>
                <w:color w:val="000000"/>
                <w:szCs w:val="21"/>
              </w:rPr>
              <w:t>021</w:t>
            </w:r>
            <w:r>
              <w:rPr>
                <w:rFonts w:hint="eastAsia" w:ascii="Times New Roman" w:hAnsi="Times New Roman" w:eastAsia="仿宋_GB2312"/>
                <w:color w:val="000000"/>
                <w:szCs w:val="21"/>
              </w:rPr>
              <w:t>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7" w:type="dxa"/>
            <w:gridSpan w:val="10"/>
          </w:tcPr>
          <w:p>
            <w:pPr>
              <w:spacing w:after="120" w:afterLines="50" w:line="500" w:lineRule="exact"/>
              <w:rPr>
                <w:rFonts w:ascii="Times New Roman" w:hAnsi="Times New Roman" w:eastAsia="仿宋_GB2312"/>
                <w:b/>
                <w:bCs/>
                <w:snapToGrid w:val="0"/>
                <w:color w:val="000000"/>
                <w:kern w:val="0"/>
                <w:sz w:val="24"/>
                <w:szCs w:val="24"/>
              </w:rPr>
            </w:pPr>
            <w:r>
              <w:rPr>
                <w:rFonts w:ascii="Times New Roman" w:hAnsi="Times New Roman" w:eastAsia="仿宋_GB2312"/>
                <w:b/>
                <w:bCs/>
                <w:snapToGrid w:val="0"/>
                <w:color w:val="000000"/>
                <w:kern w:val="0"/>
                <w:sz w:val="24"/>
                <w:szCs w:val="24"/>
              </w:rPr>
              <w:t>原辅材料（包括名称、用量）及主要设备规格、数量：</w:t>
            </w:r>
          </w:p>
          <w:p>
            <w:pPr>
              <w:pStyle w:val="248"/>
              <w:spacing w:line="500" w:lineRule="exact"/>
              <w:rPr>
                <w:rFonts w:eastAsia="仿宋_GB2312"/>
                <w:color w:val="000000"/>
              </w:rPr>
            </w:pPr>
            <w:r>
              <w:rPr>
                <w:rFonts w:eastAsia="仿宋_GB2312"/>
                <w:color w:val="000000"/>
              </w:rPr>
              <w:t>项目建成后不涉及生产，主要从事固废、土壤、空气和废气、噪声、水和废水等项目的检验检测及科研实验。</w:t>
            </w:r>
          </w:p>
          <w:p>
            <w:pPr>
              <w:pStyle w:val="248"/>
              <w:spacing w:line="500" w:lineRule="exact"/>
              <w:rPr>
                <w:rFonts w:eastAsia="仿宋_GB2312"/>
                <w:color w:val="000000"/>
              </w:rPr>
            </w:pPr>
            <w:r>
              <w:rPr>
                <w:rFonts w:eastAsia="仿宋_GB2312"/>
                <w:color w:val="000000"/>
              </w:rPr>
              <w:t>主要原辅材料清单见表1-1，主要原辅材料的理化性质见表1-2，主要设备清单见表</w:t>
            </w:r>
            <w:r>
              <w:rPr>
                <w:rStyle w:val="47"/>
                <w:rFonts w:eastAsia="仿宋_GB2312"/>
                <w:b w:val="0"/>
                <w:bCs w:val="0"/>
                <w:color w:val="000000"/>
                <w:sz w:val="24"/>
                <w:szCs w:val="24"/>
              </w:rPr>
              <w:t>1-3。</w:t>
            </w:r>
          </w:p>
          <w:p>
            <w:pPr>
              <w:pStyle w:val="78"/>
              <w:spacing w:before="0" w:after="0" w:line="480" w:lineRule="exact"/>
              <w:rPr>
                <w:rFonts w:eastAsia="仿宋_GB2312"/>
                <w:b/>
                <w:bCs/>
                <w:color w:val="000000"/>
                <w:szCs w:val="24"/>
              </w:rPr>
            </w:pPr>
            <w:r>
              <w:rPr>
                <w:rFonts w:eastAsia="仿宋_GB2312"/>
                <w:b/>
                <w:bCs/>
                <w:color w:val="000000"/>
                <w:szCs w:val="24"/>
              </w:rPr>
              <w:t>表1-1 项目主要原辅材料清单</w:t>
            </w:r>
          </w:p>
          <w:tbl>
            <w:tblPr>
              <w:tblStyle w:val="38"/>
              <w:tblW w:w="87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210"/>
              <w:gridCol w:w="1724"/>
              <w:gridCol w:w="1533"/>
              <w:gridCol w:w="1704"/>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tcBorders>
                    <w:top w:val="single" w:color="auto" w:sz="4" w:space="0"/>
                  </w:tcBorders>
                  <w:shd w:val="clear" w:color="auto" w:fill="auto"/>
                  <w:vAlign w:val="center"/>
                </w:tcPr>
                <w:p>
                  <w:pPr>
                    <w:jc w:val="center"/>
                    <w:rPr>
                      <w:rFonts w:ascii="Times New Roman" w:hAnsi="Times New Roman" w:eastAsia="仿宋_GB2312"/>
                      <w:b/>
                      <w:color w:val="000000" w:themeColor="text1"/>
                      <w:szCs w:val="21"/>
                      <w14:textFill>
                        <w14:solidFill>
                          <w14:schemeClr w14:val="tx1"/>
                        </w14:solidFill>
                      </w14:textFill>
                    </w:rPr>
                  </w:pPr>
                  <w:bookmarkStart w:id="0" w:name="_Hlk37245416"/>
                  <w:r>
                    <w:rPr>
                      <w:rFonts w:ascii="Times New Roman" w:hAnsi="Times New Roman" w:eastAsia="仿宋_GB2312"/>
                      <w:b/>
                      <w:color w:val="000000" w:themeColor="text1"/>
                      <w:szCs w:val="21"/>
                      <w14:textFill>
                        <w14:solidFill>
                          <w14:schemeClr w14:val="tx1"/>
                        </w14:solidFill>
                      </w14:textFill>
                    </w:rPr>
                    <w:t>序号</w:t>
                  </w:r>
                </w:p>
              </w:tc>
              <w:tc>
                <w:tcPr>
                  <w:tcW w:w="2210" w:type="dxa"/>
                  <w:tcBorders>
                    <w:top w:val="single" w:color="auto" w:sz="4" w:space="0"/>
                  </w:tcBorders>
                  <w:shd w:val="clear" w:color="auto" w:fill="auto"/>
                  <w:vAlign w:val="center"/>
                </w:tcPr>
                <w:p>
                  <w:pPr>
                    <w:jc w:val="center"/>
                    <w:rPr>
                      <w:rFonts w:ascii="Times New Roman" w:hAnsi="Times New Roman" w:eastAsia="仿宋_GB2312"/>
                      <w:b/>
                      <w:color w:val="000000" w:themeColor="text1"/>
                      <w:szCs w:val="21"/>
                      <w14:textFill>
                        <w14:solidFill>
                          <w14:schemeClr w14:val="tx1"/>
                        </w14:solidFill>
                      </w14:textFill>
                    </w:rPr>
                  </w:pPr>
                  <w:r>
                    <w:rPr>
                      <w:rFonts w:ascii="Times New Roman" w:hAnsi="Times New Roman" w:eastAsia="仿宋_GB2312"/>
                      <w:b/>
                      <w:color w:val="000000" w:themeColor="text1"/>
                      <w:szCs w:val="21"/>
                      <w14:textFill>
                        <w14:solidFill>
                          <w14:schemeClr w14:val="tx1"/>
                        </w14:solidFill>
                      </w14:textFill>
                    </w:rPr>
                    <w:t>名称</w:t>
                  </w:r>
                </w:p>
              </w:tc>
              <w:tc>
                <w:tcPr>
                  <w:tcW w:w="1724" w:type="dxa"/>
                  <w:tcBorders>
                    <w:top w:val="single" w:color="auto" w:sz="4" w:space="0"/>
                  </w:tcBorders>
                  <w:shd w:val="clear" w:color="auto" w:fill="auto"/>
                  <w:vAlign w:val="center"/>
                </w:tcPr>
                <w:p>
                  <w:pPr>
                    <w:jc w:val="center"/>
                    <w:rPr>
                      <w:rFonts w:ascii="Times New Roman" w:hAnsi="Times New Roman" w:eastAsia="仿宋_GB2312"/>
                      <w:b/>
                      <w:color w:val="000000" w:themeColor="text1"/>
                      <w:szCs w:val="21"/>
                      <w14:textFill>
                        <w14:solidFill>
                          <w14:schemeClr w14:val="tx1"/>
                        </w14:solidFill>
                      </w14:textFill>
                    </w:rPr>
                  </w:pPr>
                  <w:r>
                    <w:rPr>
                      <w:rFonts w:ascii="Times New Roman" w:hAnsi="Times New Roman" w:eastAsia="仿宋_GB2312"/>
                      <w:b/>
                      <w:color w:val="000000" w:themeColor="text1"/>
                      <w:szCs w:val="21"/>
                      <w14:textFill>
                        <w14:solidFill>
                          <w14:schemeClr w14:val="tx1"/>
                        </w14:solidFill>
                      </w14:textFill>
                    </w:rPr>
                    <w:t>规格</w:t>
                  </w:r>
                </w:p>
              </w:tc>
              <w:tc>
                <w:tcPr>
                  <w:tcW w:w="1533" w:type="dxa"/>
                  <w:tcBorders>
                    <w:top w:val="single" w:color="auto" w:sz="4" w:space="0"/>
                  </w:tcBorders>
                  <w:shd w:val="clear" w:color="auto" w:fill="auto"/>
                  <w:vAlign w:val="center"/>
                </w:tcPr>
                <w:p>
                  <w:pPr>
                    <w:jc w:val="center"/>
                    <w:rPr>
                      <w:rFonts w:ascii="Times New Roman" w:hAnsi="Times New Roman" w:eastAsia="仿宋_GB2312"/>
                      <w:b/>
                      <w:color w:val="000000" w:themeColor="text1"/>
                      <w:szCs w:val="21"/>
                      <w14:textFill>
                        <w14:solidFill>
                          <w14:schemeClr w14:val="tx1"/>
                        </w14:solidFill>
                      </w14:textFill>
                    </w:rPr>
                  </w:pPr>
                  <w:r>
                    <w:rPr>
                      <w:rFonts w:ascii="Times New Roman" w:hAnsi="Times New Roman" w:eastAsia="仿宋_GB2312"/>
                      <w:b/>
                      <w:color w:val="000000" w:themeColor="text1"/>
                      <w:szCs w:val="21"/>
                      <w14:textFill>
                        <w14:solidFill>
                          <w14:schemeClr w14:val="tx1"/>
                        </w14:solidFill>
                      </w14:textFill>
                    </w:rPr>
                    <w:t>年消耗量</w:t>
                  </w:r>
                </w:p>
              </w:tc>
              <w:tc>
                <w:tcPr>
                  <w:tcW w:w="1704" w:type="dxa"/>
                  <w:tcBorders>
                    <w:top w:val="single" w:color="auto" w:sz="4" w:space="0"/>
                  </w:tcBorders>
                </w:tcPr>
                <w:p>
                  <w:pPr>
                    <w:jc w:val="center"/>
                    <w:rPr>
                      <w:rFonts w:ascii="Times New Roman" w:hAnsi="Times New Roman" w:eastAsia="仿宋_GB2312"/>
                      <w:b/>
                      <w:color w:val="000000" w:themeColor="text1"/>
                      <w:szCs w:val="21"/>
                      <w14:textFill>
                        <w14:solidFill>
                          <w14:schemeClr w14:val="tx1"/>
                        </w14:solidFill>
                      </w14:textFill>
                    </w:rPr>
                  </w:pPr>
                  <w:r>
                    <w:rPr>
                      <w:rFonts w:ascii="Times New Roman" w:hAnsi="Times New Roman" w:eastAsia="仿宋_GB2312"/>
                      <w:b/>
                      <w:color w:val="000000" w:themeColor="text1"/>
                      <w:szCs w:val="21"/>
                      <w14:textFill>
                        <w14:solidFill>
                          <w14:schemeClr w14:val="tx1"/>
                        </w14:solidFill>
                      </w14:textFill>
                    </w:rPr>
                    <w:t>最大</w:t>
                  </w:r>
                  <w:r>
                    <w:rPr>
                      <w:rFonts w:hint="eastAsia" w:ascii="Times New Roman" w:hAnsi="Times New Roman" w:eastAsia="仿宋_GB2312"/>
                      <w:b/>
                      <w:color w:val="000000" w:themeColor="text1"/>
                      <w:szCs w:val="21"/>
                      <w14:textFill>
                        <w14:solidFill>
                          <w14:schemeClr w14:val="tx1"/>
                        </w14:solidFill>
                      </w14:textFill>
                    </w:rPr>
                    <w:t>暂存</w:t>
                  </w:r>
                  <w:r>
                    <w:rPr>
                      <w:rFonts w:ascii="Times New Roman" w:hAnsi="Times New Roman" w:eastAsia="仿宋_GB2312"/>
                      <w:b/>
                      <w:color w:val="000000" w:themeColor="text1"/>
                      <w:szCs w:val="21"/>
                      <w14:textFill>
                        <w14:solidFill>
                          <w14:schemeClr w14:val="tx1"/>
                        </w14:solidFill>
                      </w14:textFill>
                    </w:rPr>
                    <w:t>量</w:t>
                  </w:r>
                </w:p>
              </w:tc>
              <w:tc>
                <w:tcPr>
                  <w:tcW w:w="808" w:type="dxa"/>
                  <w:tcBorders>
                    <w:top w:val="single" w:color="auto" w:sz="4" w:space="0"/>
                  </w:tcBorders>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盐酸</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500ml，36~38%</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25kg</w:t>
                  </w:r>
                </w:p>
              </w:tc>
              <w:tc>
                <w:tcPr>
                  <w:tcW w:w="1704"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15kg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硝酸</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500ml，65~70%</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20kg</w:t>
                  </w:r>
                </w:p>
              </w:tc>
              <w:tc>
                <w:tcPr>
                  <w:tcW w:w="1704"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20kg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3</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硫酸</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500ml，95~98%</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12kg</w:t>
                  </w:r>
                </w:p>
              </w:tc>
              <w:tc>
                <w:tcPr>
                  <w:tcW w:w="1704"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36.8kg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4</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高氯酸</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500ml，50~72%</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6kg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7.04kg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氢氟酸</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4L，≥40.0%</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6kg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18.4kg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6</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硫脲</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500g，≥99.0%</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0.2kg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2.3kg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7</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硼氢化钾</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100g，97%</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0.6kg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0.6kg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8</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无水硫酸钠</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500g，99%</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0.8kg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9</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硼酸</w:t>
                  </w:r>
                </w:p>
              </w:tc>
              <w:tc>
                <w:tcPr>
                  <w:tcW w:w="1724"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500g，≥99.8%</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0.5kg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1.5kg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0</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硫代硫酸钠</w:t>
                  </w:r>
                </w:p>
              </w:tc>
              <w:tc>
                <w:tcPr>
                  <w:tcW w:w="1724"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500g，≥99.0%</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0.2kg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0.2g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1</w:t>
                  </w:r>
                </w:p>
              </w:tc>
              <w:tc>
                <w:tcPr>
                  <w:tcW w:w="2210"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亚硝酸钠</w:t>
                  </w:r>
                </w:p>
              </w:tc>
              <w:tc>
                <w:tcPr>
                  <w:tcW w:w="1724"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500g，≥99.0%</w:t>
                  </w:r>
                </w:p>
              </w:tc>
              <w:tc>
                <w:tcPr>
                  <w:tcW w:w="1533" w:type="dxa"/>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0.1kg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1.5kg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2</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氢氧化钠</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500g</w:t>
                  </w:r>
                  <w:r>
                    <w:rPr>
                      <w:rFonts w:ascii="Times New Roman" w:hAnsi="Times New Roman" w:eastAsia="仿宋_GB2312"/>
                      <w:color w:val="000000" w:themeColor="text1"/>
                      <w:szCs w:val="21"/>
                      <w14:textFill>
                        <w14:solidFill>
                          <w14:schemeClr w14:val="tx1"/>
                        </w14:solidFill>
                      </w14:textFill>
                    </w:rPr>
                    <w:t>，≥96.0%</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4kg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3</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过硫酸钾</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500g</w:t>
                  </w:r>
                  <w:r>
                    <w:rPr>
                      <w:rFonts w:ascii="Times New Roman" w:hAnsi="Times New Roman" w:eastAsia="仿宋_GB2312"/>
                      <w:color w:val="000000" w:themeColor="text1"/>
                      <w:szCs w:val="21"/>
                      <w14:textFill>
                        <w14:solidFill>
                          <w14:schemeClr w14:val="tx1"/>
                        </w14:solidFill>
                      </w14:textFill>
                    </w:rPr>
                    <w:t>，≥99.5%</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0.5kg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1.3kg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4</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钼酸铵</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500g</w:t>
                  </w:r>
                  <w:r>
                    <w:rPr>
                      <w:rFonts w:ascii="Times New Roman" w:hAnsi="Times New Roman" w:eastAsia="仿宋_GB2312"/>
                      <w:color w:val="000000" w:themeColor="text1"/>
                      <w:szCs w:val="21"/>
                      <w14:textFill>
                        <w14:solidFill>
                          <w14:schemeClr w14:val="tx1"/>
                        </w14:solidFill>
                      </w14:textFill>
                    </w:rPr>
                    <w:t>，≥99.0%</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0.1kg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0.8kg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5</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酒石酸钾钠</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500g</w:t>
                  </w:r>
                  <w:r>
                    <w:rPr>
                      <w:rFonts w:ascii="Times New Roman" w:hAnsi="Times New Roman" w:eastAsia="仿宋_GB2312"/>
                      <w:color w:val="000000" w:themeColor="text1"/>
                      <w:szCs w:val="21"/>
                      <w14:textFill>
                        <w14:solidFill>
                          <w14:schemeClr w14:val="tx1"/>
                        </w14:solidFill>
                      </w14:textFill>
                    </w:rPr>
                    <w:t>，≥99.0%</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1kg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1.4kg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6</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重铬酸钾</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500g</w:t>
                  </w:r>
                  <w:r>
                    <w:rPr>
                      <w:rFonts w:ascii="Times New Roman" w:hAnsi="Times New Roman" w:eastAsia="仿宋_GB2312"/>
                      <w:color w:val="000000" w:themeColor="text1"/>
                      <w:szCs w:val="21"/>
                      <w14:textFill>
                        <w14:solidFill>
                          <w14:schemeClr w14:val="tx1"/>
                        </w14:solidFill>
                      </w14:textFill>
                    </w:rPr>
                    <w:t>，≥99.8%</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0.1kg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7</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硫酸亚铁铵</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500g</w:t>
                  </w:r>
                  <w:r>
                    <w:rPr>
                      <w:rFonts w:ascii="Times New Roman" w:hAnsi="Times New Roman" w:eastAsia="仿宋_GB2312"/>
                      <w:color w:val="000000" w:themeColor="text1"/>
                      <w:szCs w:val="21"/>
                      <w14:textFill>
                        <w14:solidFill>
                          <w14:schemeClr w14:val="tx1"/>
                        </w14:solidFill>
                      </w14:textFill>
                    </w:rPr>
                    <w:t>，≥99.5%</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0.5kg</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0.9kg</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18</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四氯乙烯</w:t>
                  </w:r>
                </w:p>
              </w:tc>
              <w:tc>
                <w:tcPr>
                  <w:tcW w:w="1724"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500ml</w:t>
                  </w:r>
                  <w:r>
                    <w:rPr>
                      <w:rFonts w:ascii="Times New Roman" w:hAnsi="Times New Roman" w:eastAsia="仿宋_GB2312"/>
                      <w:color w:val="000000" w:themeColor="text1"/>
                      <w:szCs w:val="21"/>
                      <w14:textFill>
                        <w14:solidFill>
                          <w14:schemeClr w14:val="tx1"/>
                        </w14:solidFill>
                      </w14:textFill>
                    </w:rPr>
                    <w:t>，≥98.5%</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7.5L</w:t>
                  </w:r>
                </w:p>
              </w:tc>
              <w:tc>
                <w:tcPr>
                  <w:tcW w:w="1704" w:type="dxa"/>
                  <w:tcBorders>
                    <w:top w:val="nil"/>
                    <w:left w:val="nil"/>
                    <w:bottom w:val="single" w:color="auto" w:sz="8" w:space="0"/>
                    <w:right w:val="nil"/>
                  </w:tcBorders>
                  <w:shd w:val="clear" w:color="auto" w:fill="auto"/>
                  <w:vAlign w:val="center"/>
                </w:tcPr>
                <w:p>
                  <w:pPr>
                    <w:widowControl/>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9</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三氯甲烷</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500ml</w:t>
                  </w:r>
                  <w:r>
                    <w:rPr>
                      <w:rFonts w:ascii="Times New Roman" w:hAnsi="Times New Roman" w:eastAsia="仿宋_GB2312"/>
                      <w:color w:val="000000" w:themeColor="text1"/>
                      <w:szCs w:val="21"/>
                      <w14:textFill>
                        <w14:solidFill>
                          <w14:schemeClr w14:val="tx1"/>
                        </w14:solidFill>
                      </w14:textFill>
                    </w:rPr>
                    <w:t>，≥99.0%</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0.5L</w:t>
                  </w:r>
                </w:p>
              </w:tc>
              <w:tc>
                <w:tcPr>
                  <w:tcW w:w="1704" w:type="dxa"/>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6L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0</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正己烷</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r>
                    <w:rPr>
                      <w:rFonts w:ascii="Times New Roman" w:hAnsi="Times New Roman" w:eastAsia="仿宋_GB2312"/>
                      <w:color w:val="000000" w:themeColor="text1"/>
                      <w:szCs w:val="21"/>
                      <w14:textFill>
                        <w14:solidFill>
                          <w14:schemeClr w14:val="tx1"/>
                        </w14:solidFill>
                      </w14:textFill>
                    </w:rPr>
                    <w:t>，≥95%</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4L</w:t>
                  </w:r>
                </w:p>
              </w:tc>
              <w:tc>
                <w:tcPr>
                  <w:tcW w:w="1704" w:type="dxa"/>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28L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1</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丙酮</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r>
                    <w:rPr>
                      <w:rFonts w:ascii="Times New Roman" w:hAnsi="Times New Roman" w:eastAsia="仿宋_GB2312"/>
                      <w:color w:val="000000" w:themeColor="text1"/>
                      <w:szCs w:val="21"/>
                      <w14:textFill>
                        <w14:solidFill>
                          <w14:schemeClr w14:val="tx1"/>
                        </w14:solidFill>
                      </w14:textFill>
                    </w:rPr>
                    <w:t>，≥99.8%</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2.5L</w:t>
                  </w:r>
                </w:p>
              </w:tc>
              <w:tc>
                <w:tcPr>
                  <w:tcW w:w="1704" w:type="dxa"/>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16L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2</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甲醇</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r>
                    <w:rPr>
                      <w:rFonts w:ascii="Times New Roman" w:hAnsi="Times New Roman" w:eastAsia="仿宋_GB2312"/>
                      <w:color w:val="000000" w:themeColor="text1"/>
                      <w:szCs w:val="21"/>
                      <w14:textFill>
                        <w14:solidFill>
                          <w14:schemeClr w14:val="tx1"/>
                        </w14:solidFill>
                      </w14:textFill>
                    </w:rPr>
                    <w:t>，≥99.9%</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12L</w:t>
                  </w:r>
                </w:p>
              </w:tc>
              <w:tc>
                <w:tcPr>
                  <w:tcW w:w="1704" w:type="dxa"/>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28L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3</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乙醇</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r>
                    <w:rPr>
                      <w:rFonts w:ascii="Times New Roman" w:hAnsi="Times New Roman" w:eastAsia="仿宋_GB2312"/>
                      <w:color w:val="000000" w:themeColor="text1"/>
                      <w:szCs w:val="21"/>
                      <w14:textFill>
                        <w14:solidFill>
                          <w14:schemeClr w14:val="tx1"/>
                        </w14:solidFill>
                      </w14:textFill>
                    </w:rPr>
                    <w:t>，≥99.9%</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4L</w:t>
                  </w:r>
                </w:p>
              </w:tc>
              <w:tc>
                <w:tcPr>
                  <w:tcW w:w="1704" w:type="dxa"/>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8L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4</w:t>
                  </w:r>
                </w:p>
              </w:tc>
              <w:tc>
                <w:tcPr>
                  <w:tcW w:w="2210"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乙腈</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r>
                    <w:rPr>
                      <w:rFonts w:ascii="Times New Roman" w:hAnsi="Times New Roman" w:eastAsia="仿宋_GB2312"/>
                      <w:color w:val="000000" w:themeColor="text1"/>
                      <w:szCs w:val="21"/>
                      <w14:textFill>
                        <w14:solidFill>
                          <w14:schemeClr w14:val="tx1"/>
                        </w14:solidFill>
                      </w14:textFill>
                    </w:rPr>
                    <w:t>，≥99.9%</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4L</w:t>
                  </w:r>
                </w:p>
              </w:tc>
              <w:tc>
                <w:tcPr>
                  <w:tcW w:w="1704" w:type="dxa"/>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36L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5</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二氯甲烷</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8L</w:t>
                  </w:r>
                </w:p>
              </w:tc>
              <w:tc>
                <w:tcPr>
                  <w:tcW w:w="1704" w:type="dxa"/>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8L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6</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乙酸乙酯</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4L</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4L</w:t>
                  </w:r>
                </w:p>
              </w:tc>
              <w:tc>
                <w:tcPr>
                  <w:tcW w:w="1704" w:type="dxa"/>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4L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7</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氩气</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1533" w:type="dxa"/>
                  <w:shd w:val="clear" w:color="auto" w:fill="auto"/>
                  <w:vAlign w:val="center"/>
                </w:tcPr>
                <w:p>
                  <w:pPr>
                    <w:widowControl/>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55L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8</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乙炔</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1533"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80L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2</w:t>
                  </w:r>
                  <w:r>
                    <w:rPr>
                      <w:rFonts w:ascii="Times New Roman" w:hAnsi="Times New Roman" w:eastAsia="仿宋_GB2312"/>
                      <w:color w:val="000000" w:themeColor="text1"/>
                      <w:szCs w:val="21"/>
                      <w14:textFill>
                        <w14:solidFill>
                          <w14:schemeClr w14:val="tx1"/>
                        </w14:solidFill>
                      </w14:textFill>
                    </w:rPr>
                    <w:t>9</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氮气</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1533"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35L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30</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氦气</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1533"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11L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w:t>
                  </w:r>
                  <w:r>
                    <w:rPr>
                      <w:rFonts w:ascii="Times New Roman" w:hAnsi="Times New Roman" w:eastAsia="仿宋_GB2312"/>
                      <w:color w:val="000000" w:themeColor="text1"/>
                      <w:szCs w:val="21"/>
                      <w14:textFill>
                        <w14:solidFill>
                          <w14:schemeClr w14:val="tx1"/>
                        </w14:solidFill>
                      </w14:textFill>
                    </w:rPr>
                    <w:t>1</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ascii="Times New Roman" w:hAnsi="Times New Roman" w:eastAsia="仿宋_GB2312"/>
                      <w:color w:val="000000" w:themeColor="text1"/>
                      <w:kern w:val="0"/>
                      <w:szCs w:val="21"/>
                      <w14:textFill>
                        <w14:solidFill>
                          <w14:schemeClr w14:val="tx1"/>
                        </w14:solidFill>
                      </w14:textFill>
                    </w:rPr>
                    <w:t>氧气</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1533"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1L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40L</w:t>
                  </w:r>
                </w:p>
              </w:tc>
              <w:tc>
                <w:tcPr>
                  <w:tcW w:w="808"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w:t>
                  </w:r>
                  <w:r>
                    <w:rPr>
                      <w:rFonts w:ascii="Times New Roman" w:hAnsi="Times New Roman" w:eastAsia="仿宋_GB2312"/>
                      <w:color w:val="000000" w:themeColor="text1"/>
                      <w:szCs w:val="21"/>
                      <w14:textFill>
                        <w14:solidFill>
                          <w14:schemeClr w14:val="tx1"/>
                        </w14:solidFill>
                      </w14:textFill>
                    </w:rPr>
                    <w:t>2</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hint="eastAsia" w:ascii="Times New Roman" w:hAnsi="Times New Roman" w:eastAsia="仿宋_GB2312"/>
                      <w:color w:val="000000" w:themeColor="text1"/>
                      <w:kern w:val="0"/>
                      <w:szCs w:val="21"/>
                      <w14:textFill>
                        <w14:solidFill>
                          <w14:schemeClr w14:val="tx1"/>
                        </w14:solidFill>
                      </w14:textFill>
                    </w:rPr>
                    <w:t>重金属标准溶液（汞、砷、硒、锑铅、锌、铬、镉、铜、锌等）</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20</w:t>
                  </w:r>
                  <w:r>
                    <w:rPr>
                      <w:rFonts w:hint="eastAsia" w:ascii="Times New Roman" w:hAnsi="Times New Roman" w:eastAsia="仿宋_GB2312"/>
                      <w:bCs/>
                      <w:color w:val="000000" w:themeColor="text1"/>
                      <w:szCs w:val="21"/>
                      <w14:textFill>
                        <w14:solidFill>
                          <w14:schemeClr w14:val="tx1"/>
                        </w14:solidFill>
                      </w14:textFill>
                    </w:rPr>
                    <w:t>m</w:t>
                  </w:r>
                  <w:r>
                    <w:rPr>
                      <w:rFonts w:ascii="Times New Roman" w:hAnsi="Times New Roman" w:eastAsia="仿宋_GB2312"/>
                      <w:bCs/>
                      <w:color w:val="000000" w:themeColor="text1"/>
                      <w:szCs w:val="21"/>
                      <w14:textFill>
                        <w14:solidFill>
                          <w14:schemeClr w14:val="tx1"/>
                        </w14:solidFill>
                      </w14:textFill>
                    </w:rPr>
                    <w:t>L</w:t>
                  </w:r>
                  <w:r>
                    <w:rPr>
                      <w:rFonts w:hint="eastAsia" w:ascii="Times New Roman" w:hAnsi="Times New Roman" w:eastAsia="仿宋_GB2312"/>
                      <w:bCs/>
                      <w:color w:val="000000" w:themeColor="text1"/>
                      <w:szCs w:val="21"/>
                      <w14:textFill>
                        <w14:solidFill>
                          <w14:schemeClr w14:val="tx1"/>
                        </w14:solidFill>
                      </w14:textFill>
                    </w:rPr>
                    <w:t>/支</w:t>
                  </w:r>
                </w:p>
              </w:tc>
              <w:tc>
                <w:tcPr>
                  <w:tcW w:w="1533"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215</w:t>
                  </w:r>
                  <w:r>
                    <w:rPr>
                      <w:rFonts w:hint="eastAsia" w:ascii="Times New Roman" w:hAnsi="Times New Roman" w:eastAsia="仿宋_GB2312"/>
                      <w:color w:val="000000" w:themeColor="text1"/>
                      <w:szCs w:val="21"/>
                      <w14:textFill>
                        <w14:solidFill>
                          <w14:schemeClr w14:val="tx1"/>
                        </w14:solidFill>
                      </w14:textFill>
                    </w:rPr>
                    <w:t>支，</w:t>
                  </w:r>
                  <w:r>
                    <w:rPr>
                      <w:rFonts w:ascii="Times New Roman" w:hAnsi="Times New Roman" w:eastAsia="仿宋_GB2312"/>
                      <w:color w:val="000000" w:themeColor="text1"/>
                      <w:szCs w:val="21"/>
                      <w14:textFill>
                        <w14:solidFill>
                          <w14:schemeClr w14:val="tx1"/>
                        </w14:solidFill>
                      </w14:textFill>
                    </w:rPr>
                    <w:t>4.3L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hint="eastAsia" w:ascii="Times New Roman" w:hAnsi="Times New Roman" w:eastAsia="仿宋_GB2312"/>
                      <w:bCs/>
                      <w:color w:val="000000" w:themeColor="text1"/>
                      <w:szCs w:val="21"/>
                      <w14:textFill>
                        <w14:solidFill>
                          <w14:schemeClr w14:val="tx1"/>
                        </w14:solidFill>
                      </w14:textFill>
                    </w:rPr>
                    <w:t>1</w:t>
                  </w:r>
                  <w:r>
                    <w:rPr>
                      <w:rFonts w:ascii="Times New Roman" w:hAnsi="Times New Roman" w:eastAsia="仿宋_GB2312"/>
                      <w:bCs/>
                      <w:color w:val="000000" w:themeColor="text1"/>
                      <w:szCs w:val="21"/>
                      <w14:textFill>
                        <w14:solidFill>
                          <w14:schemeClr w14:val="tx1"/>
                        </w14:solidFill>
                      </w14:textFill>
                    </w:rPr>
                    <w:t>24</w:t>
                  </w:r>
                  <w:r>
                    <w:rPr>
                      <w:rFonts w:hint="eastAsia" w:ascii="Times New Roman" w:hAnsi="Times New Roman" w:eastAsia="仿宋_GB2312"/>
                      <w:bCs/>
                      <w:color w:val="000000" w:themeColor="text1"/>
                      <w:szCs w:val="21"/>
                      <w14:textFill>
                        <w14:solidFill>
                          <w14:schemeClr w14:val="tx1"/>
                        </w14:solidFill>
                      </w14:textFill>
                    </w:rPr>
                    <w:t>支，2</w:t>
                  </w:r>
                  <w:r>
                    <w:rPr>
                      <w:rFonts w:ascii="Times New Roman" w:hAnsi="Times New Roman" w:eastAsia="仿宋_GB2312"/>
                      <w:bCs/>
                      <w:color w:val="000000" w:themeColor="text1"/>
                      <w:szCs w:val="21"/>
                      <w14:textFill>
                        <w14:solidFill>
                          <w14:schemeClr w14:val="tx1"/>
                        </w14:solidFill>
                      </w14:textFill>
                    </w:rPr>
                    <w:t>.48L</w:t>
                  </w:r>
                </w:p>
              </w:tc>
              <w:tc>
                <w:tcPr>
                  <w:tcW w:w="808"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w:t>
                  </w:r>
                  <w:r>
                    <w:rPr>
                      <w:rFonts w:ascii="Times New Roman" w:hAnsi="Times New Roman" w:eastAsia="仿宋_GB2312"/>
                      <w:color w:val="000000" w:themeColor="text1"/>
                      <w:szCs w:val="21"/>
                      <w14:textFill>
                        <w14:solidFill>
                          <w14:schemeClr w14:val="tx1"/>
                        </w14:solidFill>
                      </w14:textFill>
                    </w:rPr>
                    <w:t>3</w:t>
                  </w:r>
                </w:p>
              </w:tc>
              <w:tc>
                <w:tcPr>
                  <w:tcW w:w="2210" w:type="dxa"/>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hint="eastAsia" w:ascii="Times New Roman" w:hAnsi="Times New Roman" w:eastAsia="仿宋_GB2312"/>
                      <w:color w:val="000000" w:themeColor="text1"/>
                      <w:kern w:val="0"/>
                      <w:szCs w:val="21"/>
                      <w14:textFill>
                        <w14:solidFill>
                          <w14:schemeClr w14:val="tx1"/>
                        </w14:solidFill>
                      </w14:textFill>
                    </w:rPr>
                    <w:t>含重金属溶液（主要为汞、砷、硒、铅、铬、镉、铜、锌等）</w:t>
                  </w:r>
                </w:p>
              </w:tc>
              <w:tc>
                <w:tcPr>
                  <w:tcW w:w="1724" w:type="dxa"/>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50</w:t>
                  </w:r>
                  <w:r>
                    <w:rPr>
                      <w:rFonts w:hint="eastAsia" w:ascii="Times New Roman" w:hAnsi="Times New Roman" w:eastAsia="仿宋_GB2312"/>
                      <w:bCs/>
                      <w:color w:val="000000" w:themeColor="text1"/>
                      <w:szCs w:val="21"/>
                      <w14:textFill>
                        <w14:solidFill>
                          <w14:schemeClr w14:val="tx1"/>
                        </w14:solidFill>
                      </w14:textFill>
                    </w:rPr>
                    <w:t>m</w:t>
                  </w:r>
                  <w:r>
                    <w:rPr>
                      <w:rFonts w:ascii="Times New Roman" w:hAnsi="Times New Roman" w:eastAsia="仿宋_GB2312"/>
                      <w:bCs/>
                      <w:color w:val="000000" w:themeColor="text1"/>
                      <w:szCs w:val="21"/>
                      <w14:textFill>
                        <w14:solidFill>
                          <w14:schemeClr w14:val="tx1"/>
                        </w14:solidFill>
                      </w14:textFill>
                    </w:rPr>
                    <w:t>L</w:t>
                  </w:r>
                  <w:r>
                    <w:rPr>
                      <w:rFonts w:hint="eastAsia" w:ascii="Times New Roman" w:hAnsi="Times New Roman" w:eastAsia="仿宋_GB2312"/>
                      <w:bCs/>
                      <w:color w:val="000000" w:themeColor="text1"/>
                      <w:szCs w:val="21"/>
                      <w14:textFill>
                        <w14:solidFill>
                          <w14:schemeClr w14:val="tx1"/>
                        </w14:solidFill>
                      </w14:textFill>
                    </w:rPr>
                    <w:t>/瓶</w:t>
                  </w:r>
                </w:p>
              </w:tc>
              <w:tc>
                <w:tcPr>
                  <w:tcW w:w="1533" w:type="dxa"/>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4</w:t>
                  </w:r>
                  <w:r>
                    <w:rPr>
                      <w:rFonts w:hint="eastAsia" w:ascii="Times New Roman" w:hAnsi="Times New Roman" w:eastAsia="仿宋_GB2312"/>
                      <w:color w:val="000000" w:themeColor="text1"/>
                      <w:szCs w:val="21"/>
                      <w14:textFill>
                        <w14:solidFill>
                          <w14:schemeClr w14:val="tx1"/>
                        </w14:solidFill>
                      </w14:textFill>
                    </w:rPr>
                    <w:t>瓶，0</w:t>
                  </w:r>
                  <w:r>
                    <w:rPr>
                      <w:rFonts w:ascii="Times New Roman" w:hAnsi="Times New Roman" w:eastAsia="仿宋_GB2312"/>
                      <w:color w:val="000000" w:themeColor="text1"/>
                      <w:szCs w:val="21"/>
                      <w14:textFill>
                        <w14:solidFill>
                          <w14:schemeClr w14:val="tx1"/>
                        </w14:solidFill>
                      </w14:textFill>
                    </w:rPr>
                    <w:t>.7L</w:t>
                  </w:r>
                </w:p>
              </w:tc>
              <w:tc>
                <w:tcPr>
                  <w:tcW w:w="1704" w:type="dxa"/>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4</w:t>
                  </w:r>
                  <w:r>
                    <w:rPr>
                      <w:rFonts w:hint="eastAsia" w:ascii="Times New Roman" w:hAnsi="Times New Roman" w:eastAsia="仿宋_GB2312"/>
                      <w:color w:val="000000" w:themeColor="text1"/>
                      <w:szCs w:val="21"/>
                      <w14:textFill>
                        <w14:solidFill>
                          <w14:schemeClr w14:val="tx1"/>
                        </w14:solidFill>
                      </w14:textFill>
                    </w:rPr>
                    <w:t>瓶，0</w:t>
                  </w:r>
                  <w:r>
                    <w:rPr>
                      <w:rFonts w:ascii="Times New Roman" w:hAnsi="Times New Roman" w:eastAsia="仿宋_GB2312"/>
                      <w:color w:val="000000" w:themeColor="text1"/>
                      <w:szCs w:val="21"/>
                      <w14:textFill>
                        <w14:solidFill>
                          <w14:schemeClr w14:val="tx1"/>
                        </w14:solidFill>
                      </w14:textFill>
                    </w:rPr>
                    <w:t>.7L</w:t>
                  </w:r>
                </w:p>
              </w:tc>
              <w:tc>
                <w:tcPr>
                  <w:tcW w:w="808"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8" w:type="dxa"/>
                  <w:tcBorders>
                    <w:bottom w:val="single" w:color="auto" w:sz="4" w:space="0"/>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3</w:t>
                  </w:r>
                  <w:r>
                    <w:rPr>
                      <w:rFonts w:ascii="Times New Roman" w:hAnsi="Times New Roman" w:eastAsia="仿宋_GB2312"/>
                      <w:color w:val="000000" w:themeColor="text1"/>
                      <w:szCs w:val="21"/>
                      <w14:textFill>
                        <w14:solidFill>
                          <w14:schemeClr w14:val="tx1"/>
                        </w14:solidFill>
                      </w14:textFill>
                    </w:rPr>
                    <w:t>4</w:t>
                  </w:r>
                </w:p>
              </w:tc>
              <w:tc>
                <w:tcPr>
                  <w:tcW w:w="2210" w:type="dxa"/>
                  <w:tcBorders>
                    <w:bottom w:val="single" w:color="auto" w:sz="4" w:space="0"/>
                  </w:tcBorders>
                  <w:shd w:val="clear" w:color="auto" w:fill="auto"/>
                  <w:vAlign w:val="center"/>
                </w:tcPr>
                <w:p>
                  <w:pPr>
                    <w:jc w:val="center"/>
                    <w:rPr>
                      <w:rFonts w:ascii="Times New Roman" w:hAnsi="Times New Roman" w:eastAsia="仿宋_GB2312"/>
                      <w:color w:val="000000" w:themeColor="text1"/>
                      <w:kern w:val="0"/>
                      <w:szCs w:val="21"/>
                      <w14:textFill>
                        <w14:solidFill>
                          <w14:schemeClr w14:val="tx1"/>
                        </w14:solidFill>
                      </w14:textFill>
                    </w:rPr>
                  </w:pPr>
                  <w:r>
                    <w:rPr>
                      <w:rFonts w:hint="eastAsia" w:ascii="Times New Roman" w:hAnsi="Times New Roman" w:eastAsia="仿宋_GB2312"/>
                      <w:color w:val="000000" w:themeColor="text1"/>
                      <w:kern w:val="0"/>
                      <w:szCs w:val="21"/>
                      <w14:textFill>
                        <w14:solidFill>
                          <w14:schemeClr w14:val="tx1"/>
                        </w14:solidFill>
                      </w14:textFill>
                    </w:rPr>
                    <w:t>有机试剂标样</w:t>
                  </w:r>
                </w:p>
              </w:tc>
              <w:tc>
                <w:tcPr>
                  <w:tcW w:w="1724" w:type="dxa"/>
                  <w:tcBorders>
                    <w:bottom w:val="single" w:color="auto" w:sz="4" w:space="0"/>
                  </w:tcBorders>
                  <w:shd w:val="clear" w:color="auto" w:fill="auto"/>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ascii="Times New Roman" w:hAnsi="Times New Roman" w:eastAsia="仿宋_GB2312"/>
                      <w:bCs/>
                      <w:color w:val="000000" w:themeColor="text1"/>
                      <w:szCs w:val="21"/>
                      <w14:textFill>
                        <w14:solidFill>
                          <w14:schemeClr w14:val="tx1"/>
                        </w14:solidFill>
                      </w14:textFill>
                    </w:rPr>
                    <w:t>1</w:t>
                  </w:r>
                  <w:r>
                    <w:rPr>
                      <w:rFonts w:hint="eastAsia" w:ascii="Times New Roman" w:hAnsi="Times New Roman" w:eastAsia="仿宋_GB2312"/>
                      <w:bCs/>
                      <w:color w:val="000000" w:themeColor="text1"/>
                      <w:szCs w:val="21"/>
                      <w14:textFill>
                        <w14:solidFill>
                          <w14:schemeClr w14:val="tx1"/>
                        </w14:solidFill>
                      </w14:textFill>
                    </w:rPr>
                    <w:t>m</w:t>
                  </w:r>
                  <w:r>
                    <w:rPr>
                      <w:rFonts w:ascii="Times New Roman" w:hAnsi="Times New Roman" w:eastAsia="仿宋_GB2312"/>
                      <w:bCs/>
                      <w:color w:val="000000" w:themeColor="text1"/>
                      <w:szCs w:val="21"/>
                      <w14:textFill>
                        <w14:solidFill>
                          <w14:schemeClr w14:val="tx1"/>
                        </w14:solidFill>
                      </w14:textFill>
                    </w:rPr>
                    <w:t>L</w:t>
                  </w:r>
                  <w:r>
                    <w:rPr>
                      <w:rFonts w:hint="eastAsia" w:ascii="Times New Roman" w:hAnsi="Times New Roman" w:eastAsia="仿宋_GB2312"/>
                      <w:bCs/>
                      <w:color w:val="000000" w:themeColor="text1"/>
                      <w:szCs w:val="21"/>
                      <w14:textFill>
                        <w14:solidFill>
                          <w14:schemeClr w14:val="tx1"/>
                        </w14:solidFill>
                      </w14:textFill>
                    </w:rPr>
                    <w:t>/支</w:t>
                  </w:r>
                </w:p>
              </w:tc>
              <w:tc>
                <w:tcPr>
                  <w:tcW w:w="1533" w:type="dxa"/>
                  <w:tcBorders>
                    <w:bottom w:val="single" w:color="auto" w:sz="4" w:space="0"/>
                  </w:tcBorders>
                  <w:shd w:val="clear" w:color="auto" w:fill="auto"/>
                  <w:vAlign w:val="center"/>
                </w:tcPr>
                <w:p>
                  <w:pPr>
                    <w:jc w:val="center"/>
                    <w:rPr>
                      <w:rFonts w:ascii="Times New Roman" w:hAnsi="Times New Roman" w:eastAsia="仿宋_GB2312"/>
                      <w:color w:val="000000" w:themeColor="text1"/>
                      <w:szCs w:val="21"/>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1</w:t>
                  </w:r>
                  <w:r>
                    <w:rPr>
                      <w:rFonts w:ascii="Times New Roman" w:hAnsi="Times New Roman" w:eastAsia="仿宋_GB2312"/>
                      <w:color w:val="000000" w:themeColor="text1"/>
                      <w:szCs w:val="21"/>
                      <w14:textFill>
                        <w14:solidFill>
                          <w14:schemeClr w14:val="tx1"/>
                        </w14:solidFill>
                      </w14:textFill>
                    </w:rPr>
                    <w:t>90</w:t>
                  </w:r>
                  <w:r>
                    <w:rPr>
                      <w:rFonts w:hint="eastAsia" w:ascii="Times New Roman" w:hAnsi="Times New Roman" w:eastAsia="仿宋_GB2312"/>
                      <w:color w:val="000000" w:themeColor="text1"/>
                      <w:szCs w:val="21"/>
                      <w14:textFill>
                        <w14:solidFill>
                          <w14:schemeClr w14:val="tx1"/>
                        </w14:solidFill>
                      </w14:textFill>
                    </w:rPr>
                    <w:t>支，</w:t>
                  </w:r>
                  <w:r>
                    <w:rPr>
                      <w:rFonts w:ascii="Times New Roman" w:hAnsi="Times New Roman" w:eastAsia="仿宋_GB2312"/>
                      <w:color w:val="000000" w:themeColor="text1"/>
                      <w:szCs w:val="21"/>
                      <w14:textFill>
                        <w14:solidFill>
                          <w14:schemeClr w14:val="tx1"/>
                        </w14:solidFill>
                      </w14:textFill>
                    </w:rPr>
                    <w:t>0.19L</w:t>
                  </w:r>
                </w:p>
              </w:tc>
              <w:tc>
                <w:tcPr>
                  <w:tcW w:w="1704" w:type="dxa"/>
                  <w:tcBorders>
                    <w:bottom w:val="single" w:color="auto" w:sz="4" w:space="0"/>
                  </w:tcBorders>
                  <w:vAlign w:val="center"/>
                </w:tcPr>
                <w:p>
                  <w:pPr>
                    <w:jc w:val="center"/>
                    <w:rPr>
                      <w:rFonts w:ascii="Times New Roman" w:hAnsi="Times New Roman" w:eastAsia="仿宋_GB2312"/>
                      <w:bCs/>
                      <w:color w:val="000000" w:themeColor="text1"/>
                      <w:szCs w:val="21"/>
                      <w14:textFill>
                        <w14:solidFill>
                          <w14:schemeClr w14:val="tx1"/>
                        </w14:solidFill>
                      </w14:textFill>
                    </w:rPr>
                  </w:pPr>
                  <w:r>
                    <w:rPr>
                      <w:rFonts w:hint="eastAsia" w:ascii="Times New Roman" w:hAnsi="Times New Roman" w:eastAsia="仿宋_GB2312"/>
                      <w:bCs/>
                      <w:color w:val="000000" w:themeColor="text1"/>
                      <w:szCs w:val="21"/>
                      <w14:textFill>
                        <w14:solidFill>
                          <w14:schemeClr w14:val="tx1"/>
                        </w14:solidFill>
                      </w14:textFill>
                    </w:rPr>
                    <w:t>1</w:t>
                  </w:r>
                  <w:r>
                    <w:rPr>
                      <w:rFonts w:ascii="Times New Roman" w:hAnsi="Times New Roman" w:eastAsia="仿宋_GB2312"/>
                      <w:bCs/>
                      <w:color w:val="000000" w:themeColor="text1"/>
                      <w:szCs w:val="21"/>
                      <w14:textFill>
                        <w14:solidFill>
                          <w14:schemeClr w14:val="tx1"/>
                        </w14:solidFill>
                      </w14:textFill>
                    </w:rPr>
                    <w:t>49</w:t>
                  </w:r>
                  <w:r>
                    <w:rPr>
                      <w:rFonts w:hint="eastAsia" w:ascii="Times New Roman" w:hAnsi="Times New Roman" w:eastAsia="仿宋_GB2312"/>
                      <w:bCs/>
                      <w:color w:val="000000" w:themeColor="text1"/>
                      <w:szCs w:val="21"/>
                      <w14:textFill>
                        <w14:solidFill>
                          <w14:schemeClr w14:val="tx1"/>
                        </w14:solidFill>
                      </w14:textFill>
                    </w:rPr>
                    <w:t>支，</w:t>
                  </w:r>
                  <w:r>
                    <w:rPr>
                      <w:rFonts w:ascii="Times New Roman" w:hAnsi="Times New Roman" w:eastAsia="仿宋_GB2312"/>
                      <w:bCs/>
                      <w:color w:val="000000" w:themeColor="text1"/>
                      <w:szCs w:val="21"/>
                      <w14:textFill>
                        <w14:solidFill>
                          <w14:schemeClr w14:val="tx1"/>
                        </w14:solidFill>
                      </w14:textFill>
                    </w:rPr>
                    <w:t>0.149L</w:t>
                  </w:r>
                </w:p>
              </w:tc>
              <w:tc>
                <w:tcPr>
                  <w:tcW w:w="808" w:type="dxa"/>
                  <w:tcBorders>
                    <w:bottom w:val="single" w:color="auto" w:sz="4" w:space="0"/>
                  </w:tcBorders>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外购</w:t>
                  </w:r>
                </w:p>
              </w:tc>
            </w:tr>
            <w:bookmarkEnd w:id="0"/>
          </w:tbl>
          <w:p>
            <w:pPr>
              <w:pStyle w:val="244"/>
              <w:rPr>
                <w:rFonts w:eastAsia="仿宋_GB2312"/>
                <w:color w:val="000000"/>
              </w:rPr>
            </w:pPr>
          </w:p>
          <w:p>
            <w:pPr>
              <w:pStyle w:val="245"/>
              <w:rPr>
                <w:rFonts w:eastAsia="仿宋_GB2312"/>
                <w:color w:val="000000"/>
              </w:rPr>
            </w:pPr>
            <w:r>
              <w:rPr>
                <w:rFonts w:eastAsia="仿宋_GB2312"/>
                <w:color w:val="000000"/>
              </w:rPr>
              <w:t>表1-2 原辅材料理化性质</w:t>
            </w:r>
          </w:p>
          <w:tbl>
            <w:tblPr>
              <w:tblStyle w:val="3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3035"/>
              <w:gridCol w:w="2285"/>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7" w:type="dxa"/>
                  <w:tcBorders>
                    <w:top w:val="single" w:color="auto" w:sz="18" w:space="0"/>
                  </w:tcBorders>
                  <w:tcMar>
                    <w:left w:w="0" w:type="dxa"/>
                    <w:right w:w="0" w:type="dxa"/>
                  </w:tcMar>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名称</w:t>
                  </w:r>
                </w:p>
              </w:tc>
              <w:tc>
                <w:tcPr>
                  <w:tcW w:w="3035" w:type="dxa"/>
                  <w:tcBorders>
                    <w:top w:val="single" w:color="auto" w:sz="18" w:space="0"/>
                  </w:tcBorders>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理化特性</w:t>
                  </w:r>
                </w:p>
              </w:tc>
              <w:tc>
                <w:tcPr>
                  <w:tcW w:w="2285" w:type="dxa"/>
                  <w:tcBorders>
                    <w:top w:val="single" w:color="auto" w:sz="18" w:space="0"/>
                  </w:tcBorders>
                  <w:vAlign w:val="center"/>
                </w:tcPr>
                <w:p>
                  <w:pPr>
                    <w:adjustRightInd w:val="0"/>
                    <w:snapToGrid w:val="0"/>
                    <w:ind w:left="-63" w:leftChars="-30" w:right="-63" w:rightChars="-30"/>
                    <w:jc w:val="center"/>
                    <w:rPr>
                      <w:rFonts w:ascii="Times New Roman" w:hAnsi="Times New Roman" w:eastAsia="仿宋_GB2312"/>
                      <w:b/>
                      <w:bCs/>
                      <w:color w:val="000000"/>
                      <w:szCs w:val="21"/>
                    </w:rPr>
                  </w:pPr>
                  <w:r>
                    <w:rPr>
                      <w:rFonts w:ascii="Times New Roman" w:hAnsi="Times New Roman" w:eastAsia="仿宋_GB2312"/>
                      <w:b/>
                      <w:bCs/>
                      <w:color w:val="000000"/>
                      <w:szCs w:val="21"/>
                    </w:rPr>
                    <w:t>燃烧爆炸性</w:t>
                  </w:r>
                </w:p>
              </w:tc>
              <w:tc>
                <w:tcPr>
                  <w:tcW w:w="1987" w:type="dxa"/>
                  <w:tcBorders>
                    <w:top w:val="single" w:color="auto" w:sz="18" w:space="0"/>
                  </w:tcBorders>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毒理毒性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277" w:type="dxa"/>
                  <w:tcMar>
                    <w:left w:w="0" w:type="dxa"/>
                    <w:right w:w="0" w:type="dxa"/>
                  </w:tcMar>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盐酸</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无色透明的液体，有强烈的</w:t>
                  </w:r>
                  <w:r>
                    <w:fldChar w:fldCharType="begin"/>
                  </w:r>
                  <w:r>
                    <w:instrText xml:space="preserve"> HYPERLINK "http://baike.baidu.com/view/5099178.htm" \t "http://baike.baidu.com/_blank" </w:instrText>
                  </w:r>
                  <w:r>
                    <w:fldChar w:fldCharType="separate"/>
                  </w:r>
                  <w:r>
                    <w:rPr>
                      <w:rStyle w:val="46"/>
                      <w:rFonts w:ascii="Times New Roman" w:hAnsi="Times New Roman" w:eastAsia="仿宋_GB2312"/>
                      <w:color w:val="000000"/>
                      <w:sz w:val="21"/>
                      <w:szCs w:val="21"/>
                      <w:u w:val="none"/>
                      <w:shd w:val="clear" w:color="auto" w:fill="FFFFFF"/>
                    </w:rPr>
                    <w:t>刺鼻</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气味，具有较高的</w:t>
                  </w:r>
                  <w:r>
                    <w:fldChar w:fldCharType="begin"/>
                  </w:r>
                  <w:r>
                    <w:instrText xml:space="preserve"> HYPERLINK "http://baike.baidu.com/view/1456180.htm" \t "http://baike.baidu.com/_blank" </w:instrText>
                  </w:r>
                  <w:r>
                    <w:fldChar w:fldCharType="separate"/>
                  </w:r>
                  <w:r>
                    <w:rPr>
                      <w:rStyle w:val="46"/>
                      <w:rFonts w:ascii="Times New Roman" w:hAnsi="Times New Roman" w:eastAsia="仿宋_GB2312"/>
                      <w:color w:val="000000"/>
                      <w:sz w:val="21"/>
                      <w:szCs w:val="21"/>
                      <w:u w:val="none"/>
                      <w:shd w:val="clear" w:color="auto" w:fill="FFFFFF"/>
                    </w:rPr>
                    <w:t>腐蚀性</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。熔点：-27.32℃，沸点：110℃，相对密度0.79（水=1），相对蒸气密度1.42（空气=1），与水混溶，溶于醇等多数有机溶剂。</w:t>
                  </w:r>
                </w:p>
              </w:tc>
              <w:tc>
                <w:tcPr>
                  <w:tcW w:w="2285" w:type="dxa"/>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硝酸</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硝酸是一种具有强</w:t>
                  </w:r>
                  <w:r>
                    <w:fldChar w:fldCharType="begin"/>
                  </w:r>
                  <w:r>
                    <w:instrText xml:space="preserve"> HYPERLINK "http://baike.baidu.com/view/266525.htm" \t "http://baike.baidu.com/_blank" </w:instrText>
                  </w:r>
                  <w:r>
                    <w:fldChar w:fldCharType="separate"/>
                  </w:r>
                  <w:r>
                    <w:rPr>
                      <w:rStyle w:val="46"/>
                      <w:rFonts w:ascii="Times New Roman" w:hAnsi="Times New Roman" w:eastAsia="仿宋_GB2312"/>
                      <w:color w:val="000000"/>
                      <w:sz w:val="21"/>
                      <w:szCs w:val="21"/>
                      <w:u w:val="none"/>
                      <w:shd w:val="clear" w:color="auto" w:fill="FFFFFF"/>
                    </w:rPr>
                    <w:t>氧化性</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w:t>
                  </w:r>
                  <w:r>
                    <w:fldChar w:fldCharType="begin"/>
                  </w:r>
                  <w:r>
                    <w:instrText xml:space="preserve"> HYPERLINK "http://baike.baidu.com/view/1456180.htm" \t "http://baike.baidu.com/_blank" </w:instrText>
                  </w:r>
                  <w:r>
                    <w:fldChar w:fldCharType="separate"/>
                  </w:r>
                  <w:r>
                    <w:rPr>
                      <w:rStyle w:val="46"/>
                      <w:rFonts w:ascii="Times New Roman" w:hAnsi="Times New Roman" w:eastAsia="仿宋_GB2312"/>
                      <w:color w:val="000000"/>
                      <w:sz w:val="21"/>
                      <w:szCs w:val="21"/>
                      <w:u w:val="none"/>
                      <w:shd w:val="clear" w:color="auto" w:fill="FFFFFF"/>
                    </w:rPr>
                    <w:t>腐蚀性</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的强酸，属于一元无机强酸。熔点：-42℃，沸点：78℃，相对密度1.5（水=1），易溶于水，常温下纯硝酸溶液无色透明。</w:t>
                  </w:r>
                </w:p>
              </w:tc>
              <w:tc>
                <w:tcPr>
                  <w:tcW w:w="2285" w:type="dxa"/>
                  <w:vAlign w:val="center"/>
                </w:tcPr>
                <w:p>
                  <w:pPr>
                    <w:adjustRightInd w:val="0"/>
                    <w:snapToGrid w:val="0"/>
                    <w:ind w:left="-63" w:leftChars="-30" w:right="-63" w:rightChars="-30"/>
                    <w:jc w:val="center"/>
                    <w:rPr>
                      <w:rFonts w:ascii="Times New Roman" w:hAnsi="Times New Roman" w:eastAsia="仿宋_GB2312"/>
                      <w:color w:val="000000"/>
                      <w:szCs w:val="21"/>
                    </w:rPr>
                  </w:pPr>
                  <w:r>
                    <w:rPr>
                      <w:rFonts w:ascii="Times New Roman" w:hAnsi="Times New Roman" w:eastAsia="仿宋_GB2312"/>
                      <w:color w:val="000000"/>
                      <w:szCs w:val="21"/>
                    </w:rPr>
                    <w:t>助燃</w:t>
                  </w:r>
                  <w:r>
                    <w:rPr>
                      <w:rFonts w:hint="eastAsia" w:ascii="Times New Roman" w:hAnsi="Times New Roman" w:eastAsia="仿宋_GB2312"/>
                      <w:color w:val="000000"/>
                      <w:szCs w:val="21"/>
                    </w:rPr>
                    <w:t>，与可燃物混合会发生爆炸</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硫酸</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透明无色无臭液体。熔点：10.371℃，沸点：337℃，相对密度1.8305（水=1），与水任意比例互溶，同时放出大量的热，使水沸腾。</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本品助燃，具强腐蚀性、强刺激性，可致人体灼伤。遇水大量放热，可发生沸溅。与易燃物（如苯）和可燃物（如糖、纤维素等）接触会发生剧烈反应，甚至引起燃烧。遇电石、高氯酸盐、雷酸盐、硝酸盐、苦味酸盐、金属粉末等猛烈反应，发生爆炸或燃烧。有强烈的腐蚀性和吸水性。</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：2140mg/kg（大鼠经口）；</w:t>
                  </w:r>
                </w:p>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LC</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：510mg/m³，2小时（大鼠吸入）；320mg/m³，2小时（小鼠吸入）。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高氯酸</w:t>
                  </w:r>
                </w:p>
              </w:tc>
              <w:tc>
                <w:tcPr>
                  <w:tcW w:w="3035"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分子式HCl</w:t>
                  </w:r>
                  <w:r>
                    <w:rPr>
                      <w:rFonts w:ascii="Times New Roman" w:hAnsi="Times New Roman" w:eastAsia="仿宋_GB2312"/>
                      <w:color w:val="000000"/>
                      <w:szCs w:val="21"/>
                      <w:shd w:val="clear" w:color="auto" w:fill="FFFFFF"/>
                      <w:vertAlign w:val="subscript"/>
                    </w:rPr>
                    <w:t>4</w:t>
                  </w:r>
                  <w:r>
                    <w:rPr>
                      <w:rFonts w:ascii="Times New Roman" w:hAnsi="Times New Roman" w:eastAsia="仿宋_GB2312"/>
                      <w:color w:val="000000"/>
                      <w:szCs w:val="21"/>
                      <w:shd w:val="clear" w:color="auto" w:fill="FFFFFF"/>
                    </w:rPr>
                    <w:t>，分子量100.46，无色透明的发烟液体。熔点为-122℃、沸点130℃（爆炸）。相对密度1.76（水=1）。与水混溶。</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助燃，具强腐蚀性、强刺激性，可致人体灼伤</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：1100mg/kg（</w:t>
                  </w:r>
                  <w:r>
                    <w:fldChar w:fldCharType="begin"/>
                  </w:r>
                  <w:r>
                    <w:instrText xml:space="preserve"> HYPERLINK "http://baike.baidu.com/view/205631.htm" \t "http://baike.baidu.com/_blank" </w:instrText>
                  </w:r>
                  <w:r>
                    <w:fldChar w:fldCharType="separate"/>
                  </w:r>
                  <w:r>
                    <w:rPr>
                      <w:rFonts w:ascii="Times New Roman" w:hAnsi="Times New Roman" w:eastAsia="仿宋_GB2312"/>
                      <w:color w:val="000000"/>
                      <w:szCs w:val="21"/>
                      <w:shd w:val="clear" w:color="auto" w:fill="FFFFFF"/>
                    </w:rPr>
                    <w:t>大</w:t>
                  </w:r>
                  <w:r>
                    <w:rPr>
                      <w:rStyle w:val="46"/>
                      <w:rFonts w:ascii="Times New Roman" w:hAnsi="Times New Roman" w:eastAsia="仿宋_GB2312"/>
                      <w:color w:val="000000"/>
                      <w:sz w:val="21"/>
                      <w:szCs w:val="21"/>
                      <w:u w:val="none"/>
                      <w:shd w:val="clear" w:color="auto" w:fill="FFFFFF"/>
                    </w:rPr>
                    <w:t>鼠</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经口）,400mg/kg（犬经口）。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氢氟酸</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无色、发烟的腐蚀性液体，有剧烈刺激性气味。易溶于水、乙醇，微溶于乙醚。</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硫脲</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分子式CH</w:t>
                  </w:r>
                  <w:r>
                    <w:rPr>
                      <w:rFonts w:ascii="Times New Roman" w:hAnsi="Times New Roman" w:eastAsia="仿宋_GB2312"/>
                      <w:color w:val="000000"/>
                      <w:szCs w:val="21"/>
                      <w:shd w:val="clear" w:color="auto" w:fill="FFFFFF"/>
                      <w:vertAlign w:val="subscript"/>
                    </w:rPr>
                    <w:t>4</w:t>
                  </w:r>
                  <w:r>
                    <w:rPr>
                      <w:rFonts w:ascii="Times New Roman" w:hAnsi="Times New Roman" w:eastAsia="仿宋_GB2312"/>
                      <w:color w:val="000000"/>
                      <w:szCs w:val="21"/>
                      <w:shd w:val="clear" w:color="auto" w:fill="FFFFFF"/>
                    </w:rPr>
                    <w:t>N</w:t>
                  </w:r>
                  <w:r>
                    <w:rPr>
                      <w:rFonts w:ascii="Times New Roman" w:hAnsi="Times New Roman" w:eastAsia="仿宋_GB2312"/>
                      <w:color w:val="000000"/>
                      <w:szCs w:val="21"/>
                      <w:shd w:val="clear" w:color="auto" w:fill="FFFFFF"/>
                      <w:vertAlign w:val="subscript"/>
                    </w:rPr>
                    <w:t>2</w:t>
                  </w:r>
                  <w:r>
                    <w:rPr>
                      <w:rFonts w:ascii="Times New Roman" w:hAnsi="Times New Roman" w:eastAsia="仿宋_GB2312"/>
                      <w:color w:val="000000"/>
                      <w:szCs w:val="21"/>
                      <w:shd w:val="clear" w:color="auto" w:fill="FFFFFF"/>
                    </w:rPr>
                    <w:t>S，分子量76.12，白色光亮苦味晶体。相对密度1.41（水=1）。溶于冷水、乙醇，微溶于乙醚。</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可燃，受热放出有毒氧化硫和氧化氮气体</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：125mg/kg（</w:t>
                  </w:r>
                  <w:r>
                    <w:fldChar w:fldCharType="begin"/>
                  </w:r>
                  <w:r>
                    <w:instrText xml:space="preserve"> HYPERLINK "http://baike.baidu.com/view/205631.htm" \t "http://baike.baidu.com/_blank" </w:instrText>
                  </w:r>
                  <w:r>
                    <w:fldChar w:fldCharType="separate"/>
                  </w:r>
                  <w:r>
                    <w:rPr>
                      <w:rFonts w:ascii="Times New Roman" w:hAnsi="Times New Roman" w:eastAsia="仿宋_GB2312"/>
                      <w:color w:val="000000"/>
                      <w:szCs w:val="21"/>
                      <w:shd w:val="clear" w:color="auto" w:fill="FFFFFF"/>
                    </w:rPr>
                    <w:t>大</w:t>
                  </w:r>
                  <w:r>
                    <w:rPr>
                      <w:rStyle w:val="46"/>
                      <w:rFonts w:ascii="Times New Roman" w:hAnsi="Times New Roman" w:eastAsia="仿宋_GB2312"/>
                      <w:color w:val="000000"/>
                      <w:sz w:val="21"/>
                      <w:szCs w:val="21"/>
                      <w:u w:val="none"/>
                      <w:shd w:val="clear" w:color="auto" w:fill="FFFFFF"/>
                    </w:rPr>
                    <w:t>鼠</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硼氢化钾</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白色疏松粉末或晶体。在空气中稳定，不吸湿性。硼氢化钾易溶于水，溶于液氨，微溶于甲醇和乙醇，几乎不溶于乙醚、苯、四氢呋喃、甲醚及其他碳氢化合物。在碱性环境中稳定，遇无机酸分解而放出氢气。强还原性。熔点：&gt;400℃，相对密度1.18g/cm</w:t>
                  </w:r>
                  <w:r>
                    <w:rPr>
                      <w:rFonts w:ascii="Times New Roman" w:hAnsi="Times New Roman" w:eastAsia="仿宋_GB2312"/>
                      <w:color w:val="000000"/>
                      <w:szCs w:val="21"/>
                      <w:shd w:val="clear" w:color="auto" w:fill="FFFFFF"/>
                      <w:vertAlign w:val="superscript"/>
                    </w:rPr>
                    <w:t>3</w:t>
                  </w:r>
                  <w:r>
                    <w:rPr>
                      <w:rFonts w:ascii="Times New Roman" w:hAnsi="Times New Roman" w:eastAsia="仿宋_GB2312"/>
                      <w:color w:val="000000"/>
                      <w:szCs w:val="21"/>
                      <w:shd w:val="clear" w:color="auto" w:fill="FFFFFF"/>
                    </w:rPr>
                    <w:t>。</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遇明火、高热或与氧化剂接触，有引起燃烧爆炸的危险。遇水或酸发生反应放出氢气及热量，能引起燃烧</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急性毒性LD</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：160 mg/kg（大鼠经口）。主要的刺激性影响：在皮肤和粘膜上造成腐蚀性影响；对眼睛有强烈的腐蚀性影响。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无水硫酸钠</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无色透明晶体，熔点：884℃，沸点：1404℃，相对密度2.68g/m</w:t>
                  </w:r>
                  <w:r>
                    <w:rPr>
                      <w:rFonts w:ascii="Times New Roman" w:hAnsi="Times New Roman" w:eastAsia="仿宋_GB2312"/>
                      <w:color w:val="000000"/>
                      <w:szCs w:val="21"/>
                      <w:shd w:val="clear" w:color="auto" w:fill="FFFFFF"/>
                      <w:vertAlign w:val="superscript"/>
                    </w:rPr>
                    <w:t>3</w:t>
                  </w:r>
                  <w:r>
                    <w:rPr>
                      <w:rFonts w:ascii="Times New Roman" w:hAnsi="Times New Roman" w:eastAsia="仿宋_GB2312"/>
                      <w:color w:val="000000"/>
                      <w:szCs w:val="21"/>
                      <w:shd w:val="clear" w:color="auto" w:fill="FFFFFF"/>
                    </w:rPr>
                    <w:t>，不溶于乙醇，溶于水、甘油。</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LD</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：5989mg/kg（小鼠经口）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硼酸</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白色粉末状结晶或三斜轴面鳞片状光泽结晶，有滑腻手感，无臭味。溶于水、酒精、甘油、醚类及香精油中，水溶液呈弱酸性。</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致死最低量：成人口服640mg/kg，皮肤8.6g/kg，静脉内29mg/kg；婴儿口服200mg/kg。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硫代硫酸钠</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无色透明的单斜晶体，熔点：48℃。</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亚硝酸钠</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白色至浅黄色粒状、棒状或粉末。有吸湿性。加热至320℃以上分解。溶于1.5份冷水、0.6份沸水，微溶于乙醇。水溶液呈碱性，pH约9。相对密度2.17。熔点271℃。</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有氧化性，与有机物接触能燃烧和爆炸，并放出有毒和刺激性的过氧化氮和氧化氮的气体。</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半数致死量：180mg/kg（大鼠经口）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氢氧化钠</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白色半透明片状或颗粒，熔点：318.4℃，沸点：1390℃，闪点：176-178℃，密度2.13g/cm</w:t>
                  </w:r>
                  <w:r>
                    <w:rPr>
                      <w:rFonts w:ascii="Times New Roman" w:hAnsi="Times New Roman" w:eastAsia="仿宋_GB2312"/>
                      <w:color w:val="000000"/>
                      <w:szCs w:val="21"/>
                      <w:shd w:val="clear" w:color="auto" w:fill="FFFFFF"/>
                      <w:vertAlign w:val="superscript"/>
                    </w:rPr>
                    <w:t>3</w:t>
                  </w:r>
                  <w:r>
                    <w:rPr>
                      <w:rFonts w:ascii="Times New Roman" w:hAnsi="Times New Roman" w:eastAsia="仿宋_GB2312"/>
                      <w:color w:val="000000"/>
                      <w:szCs w:val="21"/>
                      <w:shd w:val="clear" w:color="auto" w:fill="FFFFFF"/>
                    </w:rPr>
                    <w:t>，极易溶于水，溶解时放出大量的热。易溶于乙醇、</w:t>
                  </w:r>
                  <w:r>
                    <w:fldChar w:fldCharType="begin"/>
                  </w:r>
                  <w:r>
                    <w:instrText xml:space="preserve"> HYPERLINK "http://baike.baidu.com/view/833.htm" \t "http://baike.baidu.com/_blank" </w:instrText>
                  </w:r>
                  <w:r>
                    <w:fldChar w:fldCharType="separate"/>
                  </w:r>
                  <w:r>
                    <w:rPr>
                      <w:rStyle w:val="46"/>
                      <w:rFonts w:ascii="Times New Roman" w:hAnsi="Times New Roman" w:eastAsia="仿宋_GB2312"/>
                      <w:color w:val="000000"/>
                      <w:sz w:val="21"/>
                      <w:szCs w:val="21"/>
                      <w:u w:val="none"/>
                      <w:shd w:val="clear" w:color="auto" w:fill="FFFFFF"/>
                    </w:rPr>
                    <w:t>甘油</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小鼠腹腔LC</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：40 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过硫酸钾</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白色结晶，无气味，有潮解性。溶于约50份水（40℃时溶于25份水），不溶于乙醇，水溶液几乎是中性。相对密度2.477。</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助燃，具刺激性。</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大鼠经口LD</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：802 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钼酸铵</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白色粉末，易于纯化、易于溶解、易于热解离。</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酒石酸钾钠</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白色结晶粉末，溶于0.9份水中，几乎不溶于乙醇。</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重铬酸钾</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分子式K</w:t>
                  </w:r>
                  <w:r>
                    <w:rPr>
                      <w:rFonts w:ascii="Times New Roman" w:hAnsi="Times New Roman" w:eastAsia="仿宋_GB2312"/>
                      <w:color w:val="000000"/>
                      <w:szCs w:val="21"/>
                      <w:shd w:val="clear" w:color="auto" w:fill="FFFFFF"/>
                      <w:vertAlign w:val="subscript"/>
                    </w:rPr>
                    <w:t>2</w:t>
                  </w:r>
                  <w:r>
                    <w:rPr>
                      <w:rFonts w:ascii="Times New Roman" w:hAnsi="Times New Roman" w:eastAsia="仿宋_GB2312"/>
                      <w:color w:val="000000"/>
                      <w:szCs w:val="21"/>
                      <w:shd w:val="clear" w:color="auto" w:fill="FFFFFF"/>
                    </w:rPr>
                    <w:t>Cr</w:t>
                  </w:r>
                  <w:r>
                    <w:rPr>
                      <w:rFonts w:ascii="Times New Roman" w:hAnsi="Times New Roman" w:eastAsia="仿宋_GB2312"/>
                      <w:color w:val="000000"/>
                      <w:szCs w:val="21"/>
                      <w:shd w:val="clear" w:color="auto" w:fill="FFFFFF"/>
                      <w:vertAlign w:val="subscript"/>
                    </w:rPr>
                    <w:t>2</w:t>
                  </w:r>
                  <w:r>
                    <w:rPr>
                      <w:rFonts w:ascii="Times New Roman" w:hAnsi="Times New Roman" w:eastAsia="仿宋_GB2312"/>
                      <w:color w:val="000000"/>
                      <w:szCs w:val="21"/>
                      <w:shd w:val="clear" w:color="auto" w:fill="FFFFFF"/>
                    </w:rPr>
                    <w:t>O</w:t>
                  </w:r>
                  <w:r>
                    <w:rPr>
                      <w:rFonts w:ascii="Times New Roman" w:hAnsi="Times New Roman" w:eastAsia="仿宋_GB2312"/>
                      <w:color w:val="000000"/>
                      <w:szCs w:val="21"/>
                      <w:shd w:val="clear" w:color="auto" w:fill="FFFFFF"/>
                      <w:vertAlign w:val="subscript"/>
                    </w:rPr>
                    <w:t>7</w:t>
                  </w:r>
                  <w:r>
                    <w:rPr>
                      <w:rFonts w:ascii="Times New Roman" w:hAnsi="Times New Roman" w:eastAsia="仿宋_GB2312"/>
                      <w:color w:val="000000"/>
                      <w:szCs w:val="21"/>
                      <w:shd w:val="clear" w:color="auto" w:fill="FFFFFF"/>
                    </w:rPr>
                    <w:t>，分子量294.21，桔红色结晶。熔点：398℃。相对密度2.68（水=1）。溶于水，不溶于乙醇。</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 w:val="24"/>
                      <w:szCs w:val="24"/>
                    </w:rPr>
                    <w:t>—</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：190mg/kg（</w:t>
                  </w:r>
                  <w:r>
                    <w:fldChar w:fldCharType="begin"/>
                  </w:r>
                  <w:r>
                    <w:instrText xml:space="preserve"> HYPERLINK "http://baike.baidu.com/view/205631.htm" \t "http://baike.baidu.com/_blank" </w:instrText>
                  </w:r>
                  <w:r>
                    <w:fldChar w:fldCharType="separate"/>
                  </w:r>
                  <w:r>
                    <w:rPr>
                      <w:rFonts w:ascii="Times New Roman" w:hAnsi="Times New Roman" w:eastAsia="仿宋_GB2312"/>
                      <w:color w:val="000000"/>
                      <w:szCs w:val="21"/>
                      <w:shd w:val="clear" w:color="auto" w:fill="FFFFFF"/>
                    </w:rPr>
                    <w:t>大</w:t>
                  </w:r>
                  <w:r>
                    <w:rPr>
                      <w:rStyle w:val="46"/>
                      <w:rFonts w:ascii="Times New Roman" w:hAnsi="Times New Roman" w:eastAsia="仿宋_GB2312"/>
                      <w:color w:val="000000"/>
                      <w:sz w:val="21"/>
                      <w:szCs w:val="21"/>
                      <w:u w:val="none"/>
                      <w:shd w:val="clear" w:color="auto" w:fill="FFFFFF"/>
                    </w:rPr>
                    <w:t>鼠</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硫酸亚铁铵</w:t>
                  </w:r>
                </w:p>
              </w:tc>
              <w:tc>
                <w:tcPr>
                  <w:tcW w:w="303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相对分子质量为392.14，浅蓝绿色结晶或粉末。对光敏感。在空气中逐渐风化及氧化。溶于水，几乎不溶于乙醇。</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不燃，具刺激性。</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低毒，半数致死量：3250mg/kg（大鼠经口）。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四氯乙烯</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无色液体，有氯仿样气味。熔点：-22.2℃，相对密度1.63（水=1），沸点：121.2℃，相对蒸气密度5.83（空气=1），不溶于水，可混溶于乙醇、乙醚等多数有机溶剂。。</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可燃，具刺激性。</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半数致死量LD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 13g/kg（大鼠经口）； 8.4g/kg（小鼠经口）。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三氯甲烷</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无色透明重质液体，极易挥发，有特殊气味。熔点：-63.5℃，沸点：61.3℃，相对密度1.50（水=1），相对蒸气密度4.12（空气=1），饱和蒸气压：13.33 kPa （10.4℃），不溶于水，溶于醇、醚、苯。</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LD</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：908mg/kg（大鼠经口）；</w:t>
                  </w:r>
                </w:p>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LC</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：47702mg/m</w:t>
                  </w:r>
                  <w:r>
                    <w:rPr>
                      <w:rFonts w:ascii="Times New Roman" w:hAnsi="Times New Roman" w:eastAsia="仿宋_GB2312"/>
                      <w:color w:val="000000"/>
                      <w:szCs w:val="21"/>
                      <w:vertAlign w:val="superscript"/>
                    </w:rPr>
                    <w:t>3</w:t>
                  </w:r>
                  <w:r>
                    <w:rPr>
                      <w:rFonts w:ascii="Times New Roman" w:hAnsi="Times New Roman" w:eastAsia="仿宋_GB2312"/>
                      <w:color w:val="000000"/>
                      <w:szCs w:val="21"/>
                    </w:rPr>
                    <w:t>，4小时（大鼠吸入）。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正己烷</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有微弱的特殊气味的无色挥发性液体。熔点：-95℃，沸点：68.74℃。相对密度0.6594（水=1）。不溶于水，溶于乙醇、乙醚、丙酮。</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爆炸极限</w:t>
                  </w:r>
                  <w:r>
                    <w:rPr>
                      <w:rFonts w:ascii="Times New Roman" w:hAnsi="Times New Roman" w:eastAsia="仿宋_GB2312"/>
                      <w:color w:val="000000"/>
                      <w:szCs w:val="21"/>
                    </w:rPr>
                    <w:t>1.0</w:t>
                  </w:r>
                  <w:r>
                    <w:rPr>
                      <w:rFonts w:hint="eastAsia" w:ascii="Times New Roman" w:hAnsi="Times New Roman" w:eastAsia="仿宋_GB2312"/>
                      <w:color w:val="000000"/>
                      <w:szCs w:val="21"/>
                    </w:rPr>
                    <w:t>%～</w:t>
                  </w:r>
                  <w:r>
                    <w:rPr>
                      <w:rFonts w:ascii="Times New Roman" w:hAnsi="Times New Roman" w:eastAsia="仿宋_GB2312"/>
                      <w:color w:val="000000"/>
                      <w:szCs w:val="21"/>
                    </w:rPr>
                    <w:t>8.1</w:t>
                  </w:r>
                  <w:r>
                    <w:rPr>
                      <w:rFonts w:hint="eastAsia" w:ascii="Times New Roman" w:hAnsi="Times New Roman" w:eastAsia="仿宋_GB2312"/>
                      <w:color w:val="000000"/>
                      <w:szCs w:val="21"/>
                    </w:rPr>
                    <w:t>%</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丙酮</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无色透明易流动液体，有芳香气味，极易挥发。熔点：-94.6</w:t>
                  </w:r>
                  <w:bookmarkStart w:id="1" w:name="ref_[4]_52518"/>
                  <w:r>
                    <w:rPr>
                      <w:rFonts w:ascii="Times New Roman" w:hAnsi="Times New Roman" w:eastAsia="仿宋_GB2312"/>
                      <w:color w:val="000000"/>
                      <w:szCs w:val="21"/>
                      <w:shd w:val="clear" w:color="auto" w:fill="FFFFFF"/>
                    </w:rPr>
                    <w:t>℃，沸点：56.5</w:t>
                  </w:r>
                  <w:bookmarkEnd w:id="1"/>
                  <w:r>
                    <w:rPr>
                      <w:rFonts w:ascii="Times New Roman" w:hAnsi="Times New Roman" w:eastAsia="仿宋_GB2312"/>
                      <w:color w:val="000000"/>
                      <w:szCs w:val="21"/>
                      <w:shd w:val="clear" w:color="auto" w:fill="FFFFFF"/>
                    </w:rPr>
                    <w:t>℃，相对密度0.788（水=1），与水混溶，可混溶于乙醇、</w:t>
                  </w:r>
                  <w:r>
                    <w:fldChar w:fldCharType="begin"/>
                  </w:r>
                  <w:r>
                    <w:instrText xml:space="preserve"> HYPERLINK "http://baike.baidu.com/view/15924.htm" \t "http://baike.baidu.com/_blank" </w:instrText>
                  </w:r>
                  <w:r>
                    <w:fldChar w:fldCharType="separate"/>
                  </w:r>
                  <w:r>
                    <w:rPr>
                      <w:rStyle w:val="46"/>
                      <w:rFonts w:ascii="Times New Roman" w:hAnsi="Times New Roman" w:eastAsia="仿宋_GB2312"/>
                      <w:color w:val="000000"/>
                      <w:sz w:val="21"/>
                      <w:szCs w:val="21"/>
                      <w:u w:val="none"/>
                      <w:shd w:val="clear" w:color="auto" w:fill="FFFFFF"/>
                    </w:rPr>
                    <w:t>乙醚</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、氯仿、油类、烃类等多数有机溶剂。</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闪点-20℃，爆炸极限：2.5~12.8%，极度易燃，其蒸气与空气可形成爆炸性混合物，遇明火、高热极易燃烧爆炸。与氧化剂能发生强烈反应。其蒸气比空气重，能在较低处扩散到相当远的地方，遇火源会着火回燃。若遇高热，容器内压增大，有开裂和爆炸的危险。</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：5800mg/kg（大鼠经口）；20000mg/kg（兔经皮）。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kern w:val="0"/>
                      <w:szCs w:val="21"/>
                    </w:rPr>
                    <w:t>甲醇</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rPr>
                    <w:t>无色澄清液体，有刺激性气味。熔点：-97.8℃，沸点：64.8℃，相对密度0.79（水=1），相对蒸气密度1.11（空气=1），饱和蒸气压：13.33 kPa（21.2℃），闪点：11℃，引燃温度：385℃，溶于水，可混溶于醇、醚等多数有机溶剂。</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闪点12℃，爆炸极限：6~36.5%，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rPr>
                    <w:t>LD</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：5628 mg/kg（大鼠经口）；15800mg/kg（兔经皮），LC</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：83776mg/m</w:t>
                  </w:r>
                  <w:r>
                    <w:rPr>
                      <w:rFonts w:ascii="Times New Roman" w:hAnsi="Times New Roman" w:eastAsia="仿宋_GB2312"/>
                      <w:color w:val="000000"/>
                      <w:szCs w:val="21"/>
                      <w:vertAlign w:val="superscript"/>
                    </w:rPr>
                    <w:t>3</w:t>
                  </w:r>
                  <w:r>
                    <w:rPr>
                      <w:rFonts w:ascii="Times New Roman" w:hAnsi="Times New Roman" w:eastAsia="仿宋_GB2312"/>
                      <w:color w:val="000000"/>
                      <w:szCs w:val="21"/>
                    </w:rPr>
                    <w:t>，4小时（大鼠吸入）。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乙腈</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分子式C</w:t>
                  </w:r>
                  <w:r>
                    <w:rPr>
                      <w:rFonts w:ascii="Times New Roman" w:hAnsi="Times New Roman" w:eastAsia="仿宋_GB2312"/>
                      <w:color w:val="000000"/>
                      <w:szCs w:val="21"/>
                      <w:shd w:val="clear" w:color="auto" w:fill="FFFFFF"/>
                      <w:vertAlign w:val="subscript"/>
                    </w:rPr>
                    <w:t>2</w:t>
                  </w:r>
                  <w:r>
                    <w:rPr>
                      <w:rFonts w:ascii="Times New Roman" w:hAnsi="Times New Roman" w:eastAsia="仿宋_GB2312"/>
                      <w:color w:val="000000"/>
                      <w:szCs w:val="21"/>
                      <w:shd w:val="clear" w:color="auto" w:fill="FFFFFF"/>
                    </w:rPr>
                    <w:t>H</w:t>
                  </w:r>
                  <w:r>
                    <w:rPr>
                      <w:rFonts w:ascii="Times New Roman" w:hAnsi="Times New Roman" w:eastAsia="仿宋_GB2312"/>
                      <w:color w:val="000000"/>
                      <w:szCs w:val="21"/>
                      <w:shd w:val="clear" w:color="auto" w:fill="FFFFFF"/>
                      <w:vertAlign w:val="subscript"/>
                    </w:rPr>
                    <w:t>3</w:t>
                  </w:r>
                  <w:r>
                    <w:rPr>
                      <w:rFonts w:ascii="Times New Roman" w:hAnsi="Times New Roman" w:eastAsia="仿宋_GB2312"/>
                      <w:color w:val="000000"/>
                      <w:szCs w:val="21"/>
                      <w:shd w:val="clear" w:color="auto" w:fill="FFFFFF"/>
                    </w:rPr>
                    <w:t>N，分子量41.05，无色液体，有刺激性气味，熔点：-45.7℃，沸点：81.1℃，闪点：2℃。相对密度0.79（水=1），相对蒸汽密度1.42（空气=1）。与水混溶，溶于醇等多数有机溶剂。</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爆炸上限16.0%（V/V），爆炸下限3.0%（V/V）</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：2730mg/kg（</w:t>
                  </w:r>
                  <w:r>
                    <w:fldChar w:fldCharType="begin"/>
                  </w:r>
                  <w:r>
                    <w:instrText xml:space="preserve"> HYPERLINK "http://baike.baidu.com/view/205631.htm" \t "http://baike.baidu.com/_blank" </w:instrText>
                  </w:r>
                  <w:r>
                    <w:fldChar w:fldCharType="separate"/>
                  </w:r>
                  <w:r>
                    <w:rPr>
                      <w:rFonts w:ascii="Times New Roman" w:hAnsi="Times New Roman" w:eastAsia="仿宋_GB2312"/>
                      <w:color w:val="000000"/>
                      <w:szCs w:val="21"/>
                      <w:shd w:val="clear" w:color="auto" w:fill="FFFFFF"/>
                    </w:rPr>
                    <w:t>大</w:t>
                  </w:r>
                  <w:r>
                    <w:rPr>
                      <w:rStyle w:val="46"/>
                      <w:rFonts w:ascii="Times New Roman" w:hAnsi="Times New Roman" w:eastAsia="仿宋_GB2312"/>
                      <w:color w:val="000000"/>
                      <w:sz w:val="21"/>
                      <w:szCs w:val="21"/>
                      <w:u w:val="none"/>
                      <w:shd w:val="clear" w:color="auto" w:fill="FFFFFF"/>
                    </w:rPr>
                    <w:t>鼠</w:t>
                  </w:r>
                  <w:r>
                    <w:rPr>
                      <w:rStyle w:val="46"/>
                      <w:rFonts w:ascii="Times New Roman" w:hAnsi="Times New Roman" w:eastAsia="仿宋_GB2312"/>
                      <w:color w:val="000000"/>
                      <w:sz w:val="21"/>
                      <w:szCs w:val="21"/>
                      <w:u w:val="none"/>
                      <w:shd w:val="clear" w:color="auto" w:fill="FFFFFF"/>
                    </w:rPr>
                    <w:fldChar w:fldCharType="end"/>
                  </w:r>
                  <w:r>
                    <w:rPr>
                      <w:rFonts w:ascii="Times New Roman" w:hAnsi="Times New Roman" w:eastAsia="仿宋_GB2312"/>
                      <w:color w:val="000000"/>
                      <w:szCs w:val="21"/>
                      <w:shd w:val="clear" w:color="auto" w:fill="FFFFFF"/>
                    </w:rPr>
                    <w:t>经口）；1250mg/kg（兔经皮），</w:t>
                  </w:r>
                  <w:r>
                    <w:rPr>
                      <w:rFonts w:ascii="Times New Roman" w:hAnsi="Times New Roman" w:eastAsia="仿宋_GB2312"/>
                      <w:color w:val="000000"/>
                      <w:szCs w:val="21"/>
                    </w:rPr>
                    <w:t>LC</w:t>
                  </w:r>
                  <w:r>
                    <w:rPr>
                      <w:rFonts w:ascii="Times New Roman" w:hAnsi="Times New Roman" w:eastAsia="仿宋_GB2312"/>
                      <w:color w:val="000000"/>
                      <w:szCs w:val="21"/>
                      <w:vertAlign w:val="subscript"/>
                    </w:rPr>
                    <w:t>50</w:t>
                  </w:r>
                  <w:r>
                    <w:rPr>
                      <w:rFonts w:ascii="Times New Roman" w:hAnsi="Times New Roman" w:eastAsia="仿宋_GB2312"/>
                      <w:color w:val="000000"/>
                      <w:szCs w:val="21"/>
                    </w:rPr>
                    <w:t>：12663mg/m</w:t>
                  </w:r>
                  <w:r>
                    <w:rPr>
                      <w:rFonts w:ascii="Times New Roman" w:hAnsi="Times New Roman" w:eastAsia="仿宋_GB2312"/>
                      <w:color w:val="000000"/>
                      <w:szCs w:val="21"/>
                      <w:vertAlign w:val="superscript"/>
                    </w:rPr>
                    <w:t>3</w:t>
                  </w:r>
                  <w:r>
                    <w:rPr>
                      <w:rFonts w:ascii="Times New Roman" w:hAnsi="Times New Roman" w:eastAsia="仿宋_GB2312"/>
                      <w:color w:val="000000"/>
                      <w:szCs w:val="21"/>
                    </w:rPr>
                    <w:t>，8小时（小鼠吸入）。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氩气</w:t>
                  </w:r>
                </w:p>
              </w:tc>
              <w:tc>
                <w:tcPr>
                  <w:tcW w:w="3035" w:type="dxa"/>
                  <w:vAlign w:val="center"/>
                </w:tcPr>
                <w:p>
                  <w:pPr>
                    <w:pStyle w:val="110"/>
                    <w:adjustRightInd w:val="0"/>
                    <w:snapToGrid w:val="0"/>
                    <w:spacing w:line="240" w:lineRule="auto"/>
                    <w:rPr>
                      <w:rFonts w:ascii="Times New Roman" w:hAnsi="Times New Roman" w:eastAsia="仿宋_GB2312"/>
                      <w:color w:val="000000"/>
                      <w:sz w:val="21"/>
                      <w:szCs w:val="21"/>
                      <w:shd w:val="clear" w:color="auto" w:fill="FFFFFF"/>
                    </w:rPr>
                  </w:pPr>
                  <w:r>
                    <w:rPr>
                      <w:rFonts w:ascii="Times New Roman" w:hAnsi="Times New Roman" w:eastAsia="仿宋_GB2312"/>
                      <w:snapToGrid w:val="0"/>
                      <w:color w:val="000000"/>
                      <w:kern w:val="0"/>
                      <w:sz w:val="21"/>
                      <w:szCs w:val="21"/>
                    </w:rPr>
                    <w:t>无色无臭的惰性气体，分子量39.95，相对密度1.38（空气=1），蒸汽压202.64kPa（-179℃），熔点：-189.2℃，沸点：-185.7℃，微溶于水。</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不燃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乙炔</w:t>
                  </w:r>
                </w:p>
              </w:tc>
              <w:tc>
                <w:tcPr>
                  <w:tcW w:w="3035" w:type="dxa"/>
                  <w:vAlign w:val="center"/>
                </w:tcPr>
                <w:p>
                  <w:pPr>
                    <w:pStyle w:val="110"/>
                    <w:adjustRightInd w:val="0"/>
                    <w:snapToGrid w:val="0"/>
                    <w:spacing w:line="240" w:lineRule="auto"/>
                    <w:rPr>
                      <w:rFonts w:ascii="Times New Roman" w:hAnsi="Times New Roman" w:eastAsia="仿宋_GB2312"/>
                      <w:color w:val="000000"/>
                      <w:sz w:val="21"/>
                      <w:szCs w:val="21"/>
                      <w:shd w:val="clear" w:color="auto" w:fill="FFFFFF"/>
                    </w:rPr>
                  </w:pPr>
                  <w:r>
                    <w:rPr>
                      <w:rFonts w:ascii="Times New Roman" w:hAnsi="Times New Roman" w:eastAsia="仿宋_GB2312"/>
                      <w:snapToGrid w:val="0"/>
                      <w:color w:val="000000"/>
                      <w:kern w:val="0"/>
                      <w:sz w:val="21"/>
                      <w:szCs w:val="21"/>
                    </w:rPr>
                    <w:t>无色、极易燃的气体，分子量26.04。</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snapToGrid w:val="0"/>
                      <w:color w:val="000000"/>
                      <w:kern w:val="0"/>
                      <w:szCs w:val="21"/>
                    </w:rPr>
                    <w:t>闪点（开杯）-17.78℃，自燃点305℃。在空气中爆炸极限2.3%-72.3%（vol）。在液态和固态下或在气态和一定压力下有猛烈爆炸的危险，受热、震动、电火花等因素都可以引发爆炸</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氮气</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rPr>
                    <w:t>分子式N</w:t>
                  </w:r>
                  <w:r>
                    <w:rPr>
                      <w:rFonts w:ascii="Times New Roman" w:hAnsi="Times New Roman" w:eastAsia="仿宋_GB2312"/>
                      <w:color w:val="000000"/>
                      <w:szCs w:val="21"/>
                      <w:vertAlign w:val="subscript"/>
                    </w:rPr>
                    <w:t>2</w:t>
                  </w:r>
                  <w:r>
                    <w:rPr>
                      <w:rFonts w:ascii="Times New Roman" w:hAnsi="Times New Roman" w:eastAsia="仿宋_GB2312"/>
                      <w:color w:val="000000"/>
                      <w:szCs w:val="21"/>
                    </w:rPr>
                    <w:t>，分子量28.01，无色无臭气体。熔点：-209.8</w:t>
                  </w:r>
                  <w:r>
                    <w:rPr>
                      <w:rFonts w:ascii="Times New Roman" w:hAnsi="Times New Roman" w:eastAsia="仿宋_GB2312"/>
                      <w:color w:val="000000"/>
                      <w:szCs w:val="21"/>
                      <w:shd w:val="clear" w:color="auto" w:fill="FFFFFF"/>
                    </w:rPr>
                    <w:t>℃，沸点：-195.6℃。相对密度0.81（水=1），相对蒸汽密度0.97（空气=1）。微溶于水、乙醇。</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氦气</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分子式He,</w:t>
                  </w:r>
                  <w:r>
                    <w:rPr>
                      <w:rFonts w:ascii="Times New Roman" w:hAnsi="Times New Roman" w:eastAsia="仿宋_GB2312"/>
                      <w:color w:val="000000"/>
                      <w:szCs w:val="21"/>
                    </w:rPr>
                    <w:t xml:space="preserve"> </w:t>
                  </w:r>
                  <w:r>
                    <w:rPr>
                      <w:rFonts w:ascii="Times New Roman" w:hAnsi="Times New Roman" w:eastAsia="仿宋_GB2312"/>
                      <w:color w:val="000000"/>
                      <w:szCs w:val="21"/>
                      <w:shd w:val="clear" w:color="auto" w:fill="FFFFFF"/>
                    </w:rPr>
                    <w:t>分子量4.003,</w:t>
                  </w:r>
                  <w:r>
                    <w:rPr>
                      <w:rFonts w:ascii="Times New Roman" w:hAnsi="Times New Roman" w:eastAsia="仿宋_GB2312"/>
                      <w:color w:val="000000"/>
                      <w:szCs w:val="21"/>
                    </w:rPr>
                    <w:t xml:space="preserve"> </w:t>
                  </w:r>
                  <w:r>
                    <w:rPr>
                      <w:rFonts w:ascii="Times New Roman" w:hAnsi="Times New Roman" w:eastAsia="仿宋_GB2312"/>
                      <w:color w:val="000000"/>
                      <w:szCs w:val="21"/>
                      <w:shd w:val="clear" w:color="auto" w:fill="FFFFFF"/>
                    </w:rPr>
                    <w:t>无色、无味、无毒气体。熔点：-272.1℃</w:t>
                  </w:r>
                </w:p>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沸点：-268.94℃。</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氧气</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无色无味气体，熔点-218.8℃，沸点-183.1℃。</w:t>
                  </w:r>
                </w:p>
              </w:tc>
              <w:tc>
                <w:tcPr>
                  <w:tcW w:w="2285" w:type="dxa"/>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不燃</w:t>
                  </w:r>
                </w:p>
              </w:tc>
              <w:tc>
                <w:tcPr>
                  <w:tcW w:w="1987"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急性毒性：人类吸入TCLo：100pph/14H。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二氯甲烷</w:t>
                  </w:r>
                </w:p>
              </w:tc>
              <w:tc>
                <w:tcPr>
                  <w:tcW w:w="3035" w:type="dxa"/>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无色透明液体，有具有类似醚的刺激性气味。不溶于水，溶于乙醇和乙醚。</w:t>
                  </w:r>
                </w:p>
              </w:tc>
              <w:tc>
                <w:tcPr>
                  <w:tcW w:w="2285" w:type="dxa"/>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snapToGrid w:val="0"/>
                      <w:color w:val="000000"/>
                      <w:kern w:val="0"/>
                      <w:szCs w:val="21"/>
                    </w:rPr>
                    <w:t>闪点（开杯）-</w:t>
                  </w:r>
                  <w:r>
                    <w:rPr>
                      <w:rFonts w:ascii="Times New Roman" w:hAnsi="Times New Roman" w:eastAsia="仿宋_GB2312"/>
                      <w:snapToGrid w:val="0"/>
                      <w:color w:val="000000"/>
                      <w:kern w:val="0"/>
                      <w:szCs w:val="21"/>
                    </w:rPr>
                    <w:t>14.1</w:t>
                  </w:r>
                  <w:r>
                    <w:rPr>
                      <w:rFonts w:hint="eastAsia" w:ascii="Times New Roman" w:hAnsi="Times New Roman" w:eastAsia="仿宋_GB2312"/>
                      <w:snapToGrid w:val="0"/>
                      <w:color w:val="000000"/>
                      <w:kern w:val="0"/>
                      <w:szCs w:val="21"/>
                    </w:rPr>
                    <w:t>℃，自燃点</w:t>
                  </w:r>
                  <w:r>
                    <w:rPr>
                      <w:rFonts w:ascii="Times New Roman" w:hAnsi="Times New Roman" w:eastAsia="仿宋_GB2312"/>
                      <w:snapToGrid w:val="0"/>
                      <w:color w:val="000000"/>
                      <w:kern w:val="0"/>
                      <w:szCs w:val="21"/>
                    </w:rPr>
                    <w:t>662</w:t>
                  </w:r>
                  <w:r>
                    <w:rPr>
                      <w:rFonts w:hint="eastAsia" w:ascii="Times New Roman" w:hAnsi="Times New Roman" w:eastAsia="仿宋_GB2312"/>
                      <w:snapToGrid w:val="0"/>
                      <w:color w:val="000000"/>
                      <w:kern w:val="0"/>
                      <w:szCs w:val="21"/>
                    </w:rPr>
                    <w:t>℃。在空气中爆炸极限</w:t>
                  </w:r>
                  <w:r>
                    <w:rPr>
                      <w:rFonts w:ascii="Times New Roman" w:hAnsi="Times New Roman" w:eastAsia="仿宋_GB2312"/>
                      <w:snapToGrid w:val="0"/>
                      <w:color w:val="000000"/>
                      <w:kern w:val="0"/>
                      <w:szCs w:val="21"/>
                    </w:rPr>
                    <w:t>13</w:t>
                  </w:r>
                  <w:r>
                    <w:rPr>
                      <w:rFonts w:hint="eastAsia" w:ascii="Times New Roman" w:hAnsi="Times New Roman" w:eastAsia="仿宋_GB2312"/>
                      <w:snapToGrid w:val="0"/>
                      <w:color w:val="000000"/>
                      <w:kern w:val="0"/>
                      <w:szCs w:val="21"/>
                    </w:rPr>
                    <w:t>%-</w:t>
                  </w:r>
                  <w:r>
                    <w:rPr>
                      <w:rFonts w:ascii="Times New Roman" w:hAnsi="Times New Roman" w:eastAsia="仿宋_GB2312"/>
                      <w:snapToGrid w:val="0"/>
                      <w:color w:val="000000"/>
                      <w:kern w:val="0"/>
                      <w:szCs w:val="21"/>
                    </w:rPr>
                    <w:t>23</w:t>
                  </w:r>
                  <w:r>
                    <w:rPr>
                      <w:rFonts w:hint="eastAsia" w:ascii="Times New Roman" w:hAnsi="Times New Roman" w:eastAsia="仿宋_GB2312"/>
                      <w:snapToGrid w:val="0"/>
                      <w:color w:val="000000"/>
                      <w:kern w:val="0"/>
                      <w:szCs w:val="21"/>
                    </w:rPr>
                    <w:t>%</w:t>
                  </w:r>
                </w:p>
              </w:tc>
              <w:tc>
                <w:tcPr>
                  <w:tcW w:w="1987" w:type="dxa"/>
                  <w:vAlign w:val="center"/>
                </w:tcPr>
                <w:p>
                  <w:pPr>
                    <w:adjustRightInd w:val="0"/>
                    <w:snapToGrid w:val="0"/>
                    <w:jc w:val="center"/>
                    <w:rPr>
                      <w:rFonts w:ascii="Times New Roman" w:hAnsi="Times New Roman" w:eastAsia="仿宋_GB2312"/>
                      <w:color w:val="000000"/>
                      <w:sz w:val="24"/>
                      <w:szCs w:val="24"/>
                    </w:rPr>
                  </w:pPr>
                  <w:r>
                    <w:rPr>
                      <w:rFonts w:ascii="Times New Roman" w:hAnsi="Times New Roman" w:eastAsia="仿宋_GB2312"/>
                      <w:color w:val="000000"/>
                      <w:szCs w:val="21"/>
                      <w:shd w:val="clear" w:color="auto" w:fill="FFFFFF"/>
                    </w:rPr>
                    <w:t>经口属中等毒性。急性毒性LD</w:t>
                  </w:r>
                  <w:r>
                    <w:rPr>
                      <w:rFonts w:ascii="Times New Roman" w:hAnsi="Times New Roman" w:eastAsia="仿宋_GB2312"/>
                      <w:color w:val="000000"/>
                      <w:szCs w:val="21"/>
                      <w:shd w:val="clear" w:color="auto" w:fill="FFFFFF"/>
                      <w:vertAlign w:val="subscript"/>
                    </w:rPr>
                    <w:t>50</w:t>
                  </w:r>
                  <w:r>
                    <w:rPr>
                      <w:rFonts w:ascii="Times New Roman" w:hAnsi="Times New Roman" w:eastAsia="仿宋_GB2312"/>
                      <w:color w:val="000000"/>
                      <w:szCs w:val="21"/>
                      <w:shd w:val="clear" w:color="auto" w:fill="FFFFFF"/>
                    </w:rPr>
                    <w:t>：1600~2000mg/kg(大鼠经口)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tcBorders>
                    <w:bottom w:val="single" w:color="auto" w:sz="18" w:space="0"/>
                  </w:tcBorders>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乙酸乙酯</w:t>
                  </w:r>
                </w:p>
              </w:tc>
              <w:tc>
                <w:tcPr>
                  <w:tcW w:w="3035" w:type="dxa"/>
                  <w:tcBorders>
                    <w:bottom w:val="single" w:color="auto" w:sz="18" w:space="0"/>
                  </w:tcBorders>
                  <w:vAlign w:val="center"/>
                </w:tcPr>
                <w:p>
                  <w:pPr>
                    <w:adjustRightInd w:val="0"/>
                    <w:snapToGrid w:val="0"/>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无色透明液体，低毒性，有甜味，浓度较高时有刺激性气味，易挥发，对空气敏感，能吸水分，使其缓慢水解而呈酸性反应。能与氯仿、乙醇、丙酮和乙醚混溶，溶于水。相对密度0.902。熔点-83℃。沸点77℃。折光率1.3719。闪点7.2℃(开杯)。</w:t>
                  </w:r>
                </w:p>
              </w:tc>
              <w:tc>
                <w:tcPr>
                  <w:tcW w:w="2285" w:type="dxa"/>
                  <w:tcBorders>
                    <w:bottom w:val="single" w:color="auto" w:sz="18" w:space="0"/>
                  </w:tcBorders>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snapToGrid w:val="0"/>
                      <w:color w:val="000000"/>
                      <w:kern w:val="0"/>
                      <w:szCs w:val="21"/>
                    </w:rPr>
                    <w:t>闪点（开杯）</w:t>
                  </w:r>
                  <w:r>
                    <w:rPr>
                      <w:rFonts w:ascii="Times New Roman" w:hAnsi="Times New Roman" w:eastAsia="仿宋_GB2312"/>
                      <w:snapToGrid w:val="0"/>
                      <w:color w:val="000000"/>
                      <w:kern w:val="0"/>
                      <w:szCs w:val="21"/>
                    </w:rPr>
                    <w:t>7.2</w:t>
                  </w:r>
                  <w:r>
                    <w:rPr>
                      <w:rFonts w:hint="eastAsia" w:ascii="Times New Roman" w:hAnsi="Times New Roman" w:eastAsia="仿宋_GB2312"/>
                      <w:snapToGrid w:val="0"/>
                      <w:color w:val="000000"/>
                      <w:kern w:val="0"/>
                      <w:szCs w:val="21"/>
                    </w:rPr>
                    <w:t>℃，引燃温度</w:t>
                  </w:r>
                  <w:r>
                    <w:rPr>
                      <w:rFonts w:ascii="Times New Roman" w:hAnsi="Times New Roman" w:eastAsia="仿宋_GB2312"/>
                      <w:snapToGrid w:val="0"/>
                      <w:color w:val="000000"/>
                      <w:kern w:val="0"/>
                      <w:szCs w:val="21"/>
                    </w:rPr>
                    <w:t>426</w:t>
                  </w:r>
                  <w:r>
                    <w:rPr>
                      <w:rFonts w:hint="eastAsia" w:ascii="Times New Roman" w:hAnsi="Times New Roman" w:eastAsia="仿宋_GB2312"/>
                      <w:snapToGrid w:val="0"/>
                      <w:color w:val="000000"/>
                      <w:kern w:val="0"/>
                      <w:szCs w:val="21"/>
                    </w:rPr>
                    <w:t>℃。在空气中爆炸极限</w:t>
                  </w:r>
                  <w:r>
                    <w:rPr>
                      <w:rFonts w:ascii="Times New Roman" w:hAnsi="Times New Roman" w:eastAsia="仿宋_GB2312"/>
                      <w:snapToGrid w:val="0"/>
                      <w:color w:val="000000"/>
                      <w:kern w:val="0"/>
                      <w:szCs w:val="21"/>
                    </w:rPr>
                    <w:t>2.0</w:t>
                  </w:r>
                  <w:r>
                    <w:rPr>
                      <w:rFonts w:hint="eastAsia" w:ascii="Times New Roman" w:hAnsi="Times New Roman" w:eastAsia="仿宋_GB2312"/>
                      <w:snapToGrid w:val="0"/>
                      <w:color w:val="000000"/>
                      <w:kern w:val="0"/>
                      <w:szCs w:val="21"/>
                    </w:rPr>
                    <w:t>%-</w:t>
                  </w:r>
                  <w:r>
                    <w:rPr>
                      <w:rFonts w:ascii="Times New Roman" w:hAnsi="Times New Roman" w:eastAsia="仿宋_GB2312"/>
                      <w:snapToGrid w:val="0"/>
                      <w:color w:val="000000"/>
                      <w:kern w:val="0"/>
                      <w:szCs w:val="21"/>
                    </w:rPr>
                    <w:t>11.5</w:t>
                  </w:r>
                  <w:r>
                    <w:rPr>
                      <w:rFonts w:hint="eastAsia" w:ascii="Times New Roman" w:hAnsi="Times New Roman" w:eastAsia="仿宋_GB2312"/>
                      <w:snapToGrid w:val="0"/>
                      <w:color w:val="000000"/>
                      <w:kern w:val="0"/>
                      <w:szCs w:val="21"/>
                    </w:rPr>
                    <w:t>%</w:t>
                  </w:r>
                </w:p>
              </w:tc>
              <w:tc>
                <w:tcPr>
                  <w:tcW w:w="1987" w:type="dxa"/>
                  <w:tcBorders>
                    <w:bottom w:val="single" w:color="auto" w:sz="18" w:space="0"/>
                  </w:tcBorders>
                  <w:vAlign w:val="center"/>
                </w:tcPr>
                <w:p>
                  <w:pPr>
                    <w:adjustRightInd w:val="0"/>
                    <w:snapToGrid w:val="0"/>
                    <w:jc w:val="center"/>
                    <w:rPr>
                      <w:rFonts w:ascii="Times New Roman" w:hAnsi="Times New Roman" w:eastAsia="仿宋_GB2312"/>
                      <w:color w:val="000000"/>
                      <w:sz w:val="24"/>
                      <w:szCs w:val="24"/>
                    </w:rPr>
                  </w:pPr>
                  <w:r>
                    <w:rPr>
                      <w:rFonts w:ascii="Times New Roman" w:hAnsi="Times New Roman" w:eastAsia="仿宋_GB2312"/>
                      <w:color w:val="000000"/>
                      <w:szCs w:val="21"/>
                    </w:rPr>
                    <w:t>毒性分级：轻度危害</w:t>
                  </w:r>
                </w:p>
              </w:tc>
            </w:tr>
          </w:tbl>
          <w:p>
            <w:pPr>
              <w:pStyle w:val="244"/>
              <w:rPr>
                <w:rFonts w:eastAsia="仿宋_GB2312"/>
                <w:color w:val="000000"/>
              </w:rPr>
            </w:pPr>
          </w:p>
          <w:p>
            <w:pPr>
              <w:pStyle w:val="78"/>
              <w:spacing w:before="0" w:after="0" w:line="480" w:lineRule="exact"/>
              <w:rPr>
                <w:rFonts w:eastAsia="仿宋_GB2312"/>
                <w:b/>
                <w:bCs/>
                <w:color w:val="000000"/>
                <w:szCs w:val="24"/>
              </w:rPr>
            </w:pPr>
          </w:p>
          <w:p>
            <w:pPr>
              <w:pStyle w:val="78"/>
              <w:spacing w:before="0" w:after="0" w:line="480" w:lineRule="exact"/>
              <w:rPr>
                <w:rFonts w:eastAsia="仿宋_GB2312"/>
                <w:b/>
                <w:bCs/>
                <w:color w:val="000000"/>
                <w:szCs w:val="24"/>
              </w:rPr>
            </w:pPr>
          </w:p>
          <w:p>
            <w:pPr>
              <w:pStyle w:val="78"/>
              <w:spacing w:before="0" w:after="0" w:line="480" w:lineRule="exact"/>
              <w:rPr>
                <w:rFonts w:eastAsia="仿宋_GB2312"/>
                <w:b/>
                <w:bCs/>
                <w:color w:val="000000"/>
                <w:szCs w:val="24"/>
              </w:rPr>
            </w:pPr>
            <w:r>
              <w:rPr>
                <w:rFonts w:eastAsia="仿宋_GB2312"/>
                <w:b/>
                <w:bCs/>
                <w:color w:val="000000"/>
                <w:szCs w:val="24"/>
              </w:rPr>
              <w:t>表1-3 主要设备清单</w:t>
            </w:r>
          </w:p>
          <w:tbl>
            <w:tblPr>
              <w:tblStyle w:val="38"/>
              <w:tblW w:w="85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48"/>
              <w:gridCol w:w="2705"/>
              <w:gridCol w:w="1576"/>
              <w:gridCol w:w="3158"/>
              <w:gridCol w:w="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trPr>
              <w:tc>
                <w:tcPr>
                  <w:tcW w:w="0" w:type="auto"/>
                  <w:tcBorders>
                    <w:top w:val="single" w:color="auto" w:sz="18" w:space="0"/>
                  </w:tcBorders>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序号</w:t>
                  </w:r>
                </w:p>
              </w:tc>
              <w:tc>
                <w:tcPr>
                  <w:tcW w:w="2706" w:type="dxa"/>
                  <w:tcBorders>
                    <w:top w:val="single" w:color="auto" w:sz="18" w:space="0"/>
                  </w:tcBorders>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名称</w:t>
                  </w:r>
                </w:p>
              </w:tc>
              <w:tc>
                <w:tcPr>
                  <w:tcW w:w="0" w:type="auto"/>
                  <w:tcBorders>
                    <w:top w:val="single" w:color="auto" w:sz="18" w:space="0"/>
                  </w:tcBorders>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型号</w:t>
                  </w:r>
                </w:p>
              </w:tc>
              <w:tc>
                <w:tcPr>
                  <w:tcW w:w="0" w:type="auto"/>
                  <w:tcBorders>
                    <w:top w:val="single" w:color="auto" w:sz="18" w:space="0"/>
                  </w:tcBorders>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生产厂家</w:t>
                  </w:r>
                </w:p>
              </w:tc>
              <w:tc>
                <w:tcPr>
                  <w:tcW w:w="0" w:type="auto"/>
                  <w:tcBorders>
                    <w:top w:val="single" w:color="auto" w:sz="18" w:space="0"/>
                  </w:tcBorders>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数量</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气相色谱仪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6890N</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气相色谱仪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GC2010</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日本岛津</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气质联用仪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6890N/5975B</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火焰原子吸收光谱仪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240FS AA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石墨炉原子吸收光谱仪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240Z AA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紫外可见分光光度计</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UV-2401PC</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日本岛津</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离子色谱仪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882</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瑞士万通</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高纯氢气发生器</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SPH-500</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北京中惠普分析技术研究所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电子分析天平</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AL-204</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梅特勒-托利多仪器（上海）有限公司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多参数水质测量仪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Sension156</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HACH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离心机</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Centrifuge TDL-5</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Centrifuge</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温度湿度计</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WS-A2</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北京康威仪表有限责任公司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自动油萃取仪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ET3200B</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上海欧陆科仪有限公司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电热板</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DB-2</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常州国华电器有限公司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分液漏斗振荡器</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MMV-1000W</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Tokyo RIKAKIKAI</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马弗炉</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550-58</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德国FISHER</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数显恒温水浴锅</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HH-S</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金坛市医疗仪器厂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电热恒温鼓风干燥箱</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DHG-9246A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上海贺德实验设备有限公司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1</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循环水式真空泵</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SHB-Ⅲ</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郑州市上街华科仪器厂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循环水式真空泵</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G1879B</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低噪音无油空气压缩机</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JX2006-13H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上海锦欣贸易有限公司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固相萃取仪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AUTOTRACE</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美国Caliper</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微量元素型实验室超纯水机</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UP-10A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南京前沿仪器设备有限公司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超声波清洗机</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E100H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德国Elma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转子流量计</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LZB-3</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余姚工业自动化仪表厂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固体废物毒性浸出仪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3740-6-BRE</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美国ADM</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溶解氧测定仪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HQ30d</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HACH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pH测定仪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pH7310</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德国 WTW</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2</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全智能型微波化学工作平台</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TOPEX</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上海屹尧仪器科技发展有限公司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原子荧光光度计</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AFS-933</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北京吉天分析仪器厂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固相萃取仪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ASE-12</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天津奥特赛恩斯仪器有限公司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旋转蒸发仪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RV10</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德国IKA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总有机碳分析仪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TOC-VCPH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日本岛津</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索氏提取仪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BSXT-02</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上海豫明仪器有限公司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浊度仪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2100Q</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HACH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电热恒温鼓风干燥箱</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DHG-9146A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上海精宏设备有限公司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土壤粉碎机</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FT102</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天津市泰斯特仪器有限公司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bookmarkStart w:id="2" w:name="OLE_LINK1"/>
                  <w:bookmarkStart w:id="3" w:name="OLE_LINK2"/>
                  <w:r>
                    <w:rPr>
                      <w:rFonts w:ascii="Times New Roman" w:hAnsi="Times New Roman" w:eastAsia="仿宋_GB2312"/>
                      <w:bCs/>
                      <w:color w:val="000000"/>
                      <w:szCs w:val="21"/>
                    </w:rPr>
                    <w:t>恒温恒湿箱</w:t>
                  </w:r>
                  <w:bookmarkEnd w:id="2"/>
                  <w:bookmarkEnd w:id="3"/>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LHS-80HC-I</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上海一恒科学仪器有限公司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3</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旋转挂片腐蚀试验仪</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RCC-Ⅲ</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扬州市江都建华仪器仪表厂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温控翻转式振荡器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GGC-W*12</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北京国环高科自动化技术研究所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水中油分浓度分析仪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ET-1200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上海欧陆科仪有限公司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温控翻转式振荡器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GGC-W*12</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北京国环高科自动化技术研究所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往复式水平振荡器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JRY-S10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湖南金蓉园仪器设备有限公司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全自动氮吹仪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AutoVapS8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ATR</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台式恒温冷冻摇床</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MaxQ 4000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Thermo Scientific</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冷冻干燥机</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2.5L</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LABCONCO</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气相色谱仪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7890B</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紫外可见分光光度计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757</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上海仪电分析仪器有限公司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4</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高纯度氢气发生器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GH-300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北京中兴汇利科技发展有限公司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智能控温电加热器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G-100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上海屹尧仪器科技发展有限公司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行星式球磨机</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QM-3SP2</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南京南大仪器有限公司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电子温湿度计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HTC-2</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广东深圳美丽居贸易有限公司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全自动固相萃取仪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Autotrace280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美国Thermo Fisher Scientific</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电子分析天平</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TXC323L</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日本岛津</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加速溶剂萃取仪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ASE350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美国Thermo Fisher Scientific</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吹扫铺集分析仪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4760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美国O.I公司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气相色谱质谱联用仪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9000+5977B</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电感耦合等离子体发射光谱仪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Avio200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美国珀金埃尔默</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5</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电感耦合等离子体质谱仪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NEXION 2000B</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美国珀金埃尔默</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吹扫捕集分析仪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4660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美国O.I公司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原子荧光光度计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AFS-9320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北京吉天分析仪器厂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全智能型微波化学工作平台</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TOPEX+</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上海屹尧仪器科技发展有限公司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气相色谱质谱联用仪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7890B+5977B</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美国Agilent</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智能控温电加热器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DKQ</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上海屹尧仪器科技发展有限公司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氟离子计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A214</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赛默飞</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电热板</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SPB50-48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PerkinElmer</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测汞仪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DMA-80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麦尔斯通股份有限公司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超纯水系统</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默克IQ7000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默克中国</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6</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全自动氮吹仪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AutoVapS8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ATR</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自动蒸汽灭菌锅</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CL-32L</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Chamber</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数显恒温水浴锅</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HH-4</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常州国华电器有限公司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标准COD消解器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RC-108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泰州市瑞测分析仪器有限公司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水平振荡器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GGC-12</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北京国环高科自动化技术研究院</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声校准器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AWA6221B</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杭州爱华仪器有限公司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中流量总悬浮微粒采样器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TH－150C</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大气可吸入颗粒物切割器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DB10-100型</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空盒气压表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DYM3</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长春气象仪器厂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轻便三杯风向风速表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DEM6</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天津气象仪器厂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7</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智能电子皂膜流量计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TH-ZM8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微电脑中流量校准器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THM-150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w:t>
                  </w:r>
                  <w:r>
                    <w:rPr>
                      <w:rFonts w:ascii="Times New Roman" w:hAnsi="Times New Roman" w:eastAsia="仿宋_GB2312"/>
                      <w:bCs/>
                      <w:color w:val="000000"/>
                      <w:kern w:val="0"/>
                      <w:szCs w:val="21"/>
                      <w:lang w:bidi="ar"/>
                    </w:rPr>
                    <w:t>202</w:t>
                  </w:r>
                  <w:r>
                    <w:rPr>
                      <w:rFonts w:ascii="Times New Roman" w:hAnsi="Times New Roman" w:eastAsia="仿宋_GB2312"/>
                      <w:bCs/>
                      <w:color w:val="000000"/>
                      <w:szCs w:val="21"/>
                    </w:rPr>
                    <w:t>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自动烟尘（气）测试仪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3012H</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青岛崂山应用技术研究所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智能大流量空气颗粒物采样器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TH-1000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智能双路烟气采样器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崂应3072型</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青岛崂山应用技术研究所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便携式pH仪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HQ40d</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哈希</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多功能声级计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AWA6228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杭州爱华仪器有限公司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声校准器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AWA6223</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杭州爱华仪器有限公司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大气采样器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QC-1S</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青岛聚创环保设备有限公司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微电脑大（中）流量校准器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THM-1200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8</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智能电子皂膜流量计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崂应7030S型</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青岛崂山应用技术研究所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0</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烟尘（气）测试校准仪</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崂应7050型</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青岛崂山应用技术研究所</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1</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地表水温度计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进口SUS304</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潍坊金水华禹信息科技有限公司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2</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中流量总悬浮微粒采样器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TH－150C</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武汉市天虹仪表有限责任公司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3</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手动旋转采样钻套装</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XDB0301</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北京新地标土壤设备有限公司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4</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声级计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AWA6228+</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杭州爱华仪器有限公司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5</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声校准器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AWA6221A</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杭州爱华仪器有限公司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6</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声校准器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AWA6223-F</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杭州爱华仪器有限公司</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7</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活塞式沉积物柱状采样器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PSC-600</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常州普森电子仪器厂</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8</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校准流量计</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882-RFQ-2676-2</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SIERRA</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Align w:val="center"/>
                </w:tcPr>
                <w:p>
                  <w:pPr>
                    <w:adjustRightInd w:val="0"/>
                    <w:snapToGrid w:val="0"/>
                    <w:jc w:val="center"/>
                    <w:rPr>
                      <w:rFonts w:ascii="Times New Roman" w:hAnsi="Times New Roman" w:eastAsia="仿宋_GB2312"/>
                      <w:bCs/>
                      <w:color w:val="000000"/>
                      <w:szCs w:val="21"/>
                    </w:rPr>
                  </w:pPr>
                  <w:r>
                    <w:rPr>
                      <w:rFonts w:hint="eastAsia" w:ascii="Times New Roman" w:hAnsi="Times New Roman" w:eastAsia="仿宋_GB2312"/>
                      <w:bCs/>
                      <w:color w:val="000000"/>
                      <w:szCs w:val="21"/>
                    </w:rPr>
                    <w:t>9</w:t>
                  </w:r>
                  <w:r>
                    <w:rPr>
                      <w:rFonts w:ascii="Times New Roman" w:hAnsi="Times New Roman" w:eastAsia="仿宋_GB2312"/>
                      <w:bCs/>
                      <w:color w:val="000000"/>
                      <w:szCs w:val="21"/>
                    </w:rPr>
                    <w:t>9</w:t>
                  </w:r>
                </w:p>
              </w:tc>
              <w:tc>
                <w:tcPr>
                  <w:tcW w:w="2706" w:type="dxa"/>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流量控制器</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CS1200E</w:t>
                  </w:r>
                </w:p>
              </w:tc>
              <w:tc>
                <w:tcPr>
                  <w:tcW w:w="0" w:type="auto"/>
                  <w:vAlign w:val="center"/>
                </w:tcPr>
                <w:p>
                  <w:pPr>
                    <w:jc w:val="center"/>
                    <w:rPr>
                      <w:rFonts w:ascii="Times New Roman" w:hAnsi="Times New Roman" w:eastAsia="仿宋_GB2312"/>
                      <w:bCs/>
                      <w:color w:val="000000"/>
                      <w:szCs w:val="21"/>
                    </w:rPr>
                  </w:pPr>
                  <w:r>
                    <w:rPr>
                      <w:rFonts w:ascii="Times New Roman" w:hAnsi="Times New Roman" w:eastAsia="仿宋_GB2312"/>
                      <w:bCs/>
                      <w:color w:val="000000"/>
                      <w:szCs w:val="21"/>
                    </w:rPr>
                    <w:t>ENTECH</w:t>
                  </w:r>
                </w:p>
              </w:tc>
              <w:tc>
                <w:tcPr>
                  <w:tcW w:w="0" w:type="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1</w:t>
                  </w:r>
                </w:p>
              </w:tc>
            </w:tr>
          </w:tbl>
          <w:p>
            <w:pPr>
              <w:pStyle w:val="248"/>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7" w:type="dxa"/>
            <w:gridSpan w:val="10"/>
          </w:tcPr>
          <w:p>
            <w:pPr>
              <w:spacing w:after="120" w:afterLines="50"/>
              <w:rPr>
                <w:rFonts w:ascii="Times New Roman" w:hAnsi="Times New Roman" w:eastAsia="仿宋_GB2312"/>
                <w:b/>
                <w:bCs/>
                <w:snapToGrid w:val="0"/>
                <w:color w:val="000000"/>
                <w:kern w:val="0"/>
                <w:sz w:val="24"/>
                <w:szCs w:val="24"/>
              </w:rPr>
            </w:pPr>
            <w:r>
              <w:rPr>
                <w:rFonts w:ascii="Times New Roman" w:hAnsi="Times New Roman" w:eastAsia="仿宋_GB2312"/>
                <w:b/>
                <w:bCs/>
                <w:snapToGrid w:val="0"/>
                <w:color w:val="000000"/>
                <w:kern w:val="0"/>
                <w:sz w:val="24"/>
                <w:szCs w:val="24"/>
              </w:rPr>
              <w:t>水及能源消耗量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98" w:type="dxa"/>
            <w:gridSpan w:val="2"/>
            <w:vAlign w:val="center"/>
          </w:tcPr>
          <w:p>
            <w:pPr>
              <w:snapToGrid w:val="0"/>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名称</w:t>
            </w:r>
          </w:p>
        </w:tc>
        <w:tc>
          <w:tcPr>
            <w:tcW w:w="3084" w:type="dxa"/>
            <w:gridSpan w:val="3"/>
            <w:vAlign w:val="center"/>
          </w:tcPr>
          <w:p>
            <w:pPr>
              <w:snapToGrid w:val="0"/>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消耗量</w:t>
            </w:r>
          </w:p>
        </w:tc>
        <w:tc>
          <w:tcPr>
            <w:tcW w:w="1953" w:type="dxa"/>
            <w:gridSpan w:val="3"/>
            <w:vAlign w:val="center"/>
          </w:tcPr>
          <w:p>
            <w:pPr>
              <w:snapToGrid w:val="0"/>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名称</w:t>
            </w:r>
          </w:p>
        </w:tc>
        <w:tc>
          <w:tcPr>
            <w:tcW w:w="1692" w:type="dxa"/>
            <w:gridSpan w:val="2"/>
            <w:vAlign w:val="center"/>
          </w:tcPr>
          <w:p>
            <w:pPr>
              <w:snapToGrid w:val="0"/>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98" w:type="dxa"/>
            <w:gridSpan w:val="2"/>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水（吨/年）</w:t>
            </w:r>
          </w:p>
        </w:tc>
        <w:tc>
          <w:tcPr>
            <w:tcW w:w="3084" w:type="dxa"/>
            <w:gridSpan w:val="3"/>
          </w:tcPr>
          <w:p>
            <w:pPr>
              <w:jc w:val="center"/>
              <w:rPr>
                <w:rFonts w:ascii="Times New Roman" w:hAnsi="Times New Roman" w:eastAsia="仿宋_GB2312"/>
                <w:color w:val="000000"/>
              </w:rPr>
            </w:pPr>
            <w:r>
              <w:rPr>
                <w:rFonts w:ascii="Times New Roman" w:hAnsi="Times New Roman" w:eastAsia="仿宋_GB2312"/>
                <w:snapToGrid w:val="0"/>
                <w:color w:val="000000"/>
                <w:kern w:val="0"/>
                <w:szCs w:val="21"/>
              </w:rPr>
              <w:t>364.212</w:t>
            </w:r>
          </w:p>
        </w:tc>
        <w:tc>
          <w:tcPr>
            <w:tcW w:w="1953" w:type="dxa"/>
            <w:gridSpan w:val="3"/>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燃油（吨/年）</w:t>
            </w:r>
          </w:p>
        </w:tc>
        <w:tc>
          <w:tcPr>
            <w:tcW w:w="1692" w:type="dxa"/>
            <w:gridSpan w:val="2"/>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98" w:type="dxa"/>
            <w:gridSpan w:val="2"/>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电（千瓦时/年）</w:t>
            </w:r>
          </w:p>
        </w:tc>
        <w:tc>
          <w:tcPr>
            <w:tcW w:w="3084" w:type="dxa"/>
            <w:gridSpan w:val="3"/>
          </w:tcPr>
          <w:p>
            <w:pPr>
              <w:jc w:val="center"/>
              <w:rPr>
                <w:rFonts w:ascii="Times New Roman" w:hAnsi="Times New Roman" w:eastAsia="仿宋_GB2312"/>
                <w:color w:val="000000"/>
              </w:rPr>
            </w:pPr>
            <w:r>
              <w:rPr>
                <w:rFonts w:ascii="Times New Roman" w:hAnsi="Times New Roman" w:eastAsia="仿宋_GB2312"/>
                <w:snapToGrid w:val="0"/>
                <w:color w:val="000000"/>
                <w:kern w:val="0"/>
                <w:szCs w:val="21"/>
              </w:rPr>
              <w:t>90000</w:t>
            </w:r>
          </w:p>
        </w:tc>
        <w:tc>
          <w:tcPr>
            <w:tcW w:w="1953" w:type="dxa"/>
            <w:gridSpan w:val="3"/>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燃气（标立方米/年）</w:t>
            </w:r>
          </w:p>
        </w:tc>
        <w:tc>
          <w:tcPr>
            <w:tcW w:w="1692" w:type="dxa"/>
            <w:gridSpan w:val="2"/>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98" w:type="dxa"/>
            <w:gridSpan w:val="2"/>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燃煤（万吨/年）</w:t>
            </w:r>
          </w:p>
        </w:tc>
        <w:tc>
          <w:tcPr>
            <w:tcW w:w="3084" w:type="dxa"/>
            <w:gridSpan w:val="3"/>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c>
          <w:tcPr>
            <w:tcW w:w="1953" w:type="dxa"/>
            <w:gridSpan w:val="3"/>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其它</w:t>
            </w:r>
          </w:p>
        </w:tc>
        <w:tc>
          <w:tcPr>
            <w:tcW w:w="1692" w:type="dxa"/>
            <w:gridSpan w:val="2"/>
            <w:vAlign w:val="center"/>
          </w:tcPr>
          <w:p>
            <w:pPr>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9027" w:type="dxa"/>
            <w:gridSpan w:val="10"/>
          </w:tcPr>
          <w:p>
            <w:pPr>
              <w:adjustRightInd w:val="0"/>
              <w:snapToGrid w:val="0"/>
              <w:spacing w:line="500" w:lineRule="exact"/>
              <w:rPr>
                <w:rFonts w:ascii="Times New Roman" w:hAnsi="Times New Roman" w:eastAsia="仿宋_GB2312"/>
                <w:b/>
                <w:bCs/>
                <w:snapToGrid w:val="0"/>
                <w:color w:val="000000"/>
                <w:kern w:val="0"/>
                <w:sz w:val="24"/>
                <w:szCs w:val="24"/>
              </w:rPr>
            </w:pPr>
            <w:r>
              <w:rPr>
                <w:rFonts w:ascii="Times New Roman" w:hAnsi="Times New Roman" w:eastAsia="仿宋_GB2312"/>
                <w:b/>
                <w:bCs/>
                <w:snapToGrid w:val="0"/>
                <w:color w:val="000000"/>
                <w:kern w:val="0"/>
                <w:sz w:val="24"/>
                <w:szCs w:val="24"/>
              </w:rPr>
              <w:t>废水（工业废水</w:t>
            </w:r>
            <w:r>
              <w:rPr>
                <w:rFonts w:ascii="Times New Roman" w:hAnsi="Times New Roman" w:eastAsia="仿宋_GB2312"/>
                <w:snapToGrid w:val="0"/>
                <w:color w:val="000000"/>
                <w:kern w:val="0"/>
                <w:sz w:val="32"/>
                <w:szCs w:val="24"/>
              </w:rPr>
              <w:t>■</w:t>
            </w:r>
            <w:r>
              <w:rPr>
                <w:rFonts w:ascii="Times New Roman" w:hAnsi="Times New Roman" w:eastAsia="仿宋_GB2312"/>
                <w:b/>
                <w:bCs/>
                <w:snapToGrid w:val="0"/>
                <w:color w:val="000000"/>
                <w:kern w:val="0"/>
                <w:sz w:val="24"/>
                <w:szCs w:val="24"/>
              </w:rPr>
              <w:t>、生活污水</w:t>
            </w:r>
            <w:r>
              <w:rPr>
                <w:rFonts w:ascii="Times New Roman" w:hAnsi="Times New Roman" w:eastAsia="仿宋_GB2312"/>
                <w:snapToGrid w:val="0"/>
                <w:color w:val="000000"/>
                <w:kern w:val="0"/>
                <w:sz w:val="32"/>
                <w:szCs w:val="24"/>
              </w:rPr>
              <w:t>■</w:t>
            </w:r>
            <w:r>
              <w:rPr>
                <w:rFonts w:ascii="Times New Roman" w:hAnsi="Times New Roman" w:eastAsia="仿宋_GB2312"/>
                <w:b/>
                <w:bCs/>
                <w:snapToGrid w:val="0"/>
                <w:color w:val="000000"/>
                <w:kern w:val="0"/>
                <w:sz w:val="24"/>
                <w:szCs w:val="24"/>
              </w:rPr>
              <w:t>）排水量及排放去向：</w:t>
            </w:r>
          </w:p>
          <w:p>
            <w:pPr>
              <w:pStyle w:val="248"/>
              <w:spacing w:line="500" w:lineRule="exact"/>
              <w:rPr>
                <w:rFonts w:eastAsia="仿宋_GB2312"/>
                <w:b/>
                <w:bCs/>
                <w:snapToGrid w:val="0"/>
                <w:color w:val="000000"/>
                <w:kern w:val="0"/>
              </w:rPr>
            </w:pPr>
            <w:r>
              <w:rPr>
                <w:rFonts w:eastAsia="仿宋_GB2312"/>
                <w:color w:val="000000"/>
              </w:rPr>
              <w:t>本项目废水主要为生活污水、</w:t>
            </w:r>
            <w:r>
              <w:rPr>
                <w:rFonts w:hint="eastAsia" w:eastAsia="仿宋_GB2312"/>
                <w:color w:val="000000"/>
              </w:rPr>
              <w:t>反冲洗废水和反渗透浓水，仪器及器皿润洗废水，实验仪器及器皿清洗废水、循环冷却系统废水、实验室台面及地面擦洗废水</w:t>
            </w:r>
            <w:r>
              <w:rPr>
                <w:rFonts w:eastAsia="仿宋_GB2312"/>
                <w:color w:val="000000"/>
              </w:rPr>
              <w:t>，废水</w:t>
            </w:r>
            <w:r>
              <w:rPr>
                <w:rFonts w:hint="eastAsia" w:eastAsia="仿宋_GB2312"/>
                <w:color w:val="000000"/>
              </w:rPr>
              <w:t>总</w:t>
            </w:r>
            <w:r>
              <w:rPr>
                <w:rFonts w:eastAsia="仿宋_GB2312"/>
                <w:color w:val="000000"/>
              </w:rPr>
              <w:t>量约为282.812t/a。</w:t>
            </w:r>
            <w:r>
              <w:rPr>
                <w:rFonts w:hint="eastAsia" w:eastAsia="仿宋_GB2312"/>
                <w:color w:val="000000"/>
              </w:rPr>
              <w:t>实验仪器及器皿清洗废水</w:t>
            </w:r>
            <w:r>
              <w:rPr>
                <w:rFonts w:eastAsia="仿宋_GB2312"/>
                <w:color w:val="000000"/>
              </w:rPr>
              <w:t>中，</w:t>
            </w:r>
            <w:r>
              <w:rPr>
                <w:rFonts w:hint="eastAsia" w:eastAsia="仿宋_GB2312"/>
                <w:color w:val="000000"/>
              </w:rPr>
              <w:t>前两道</w:t>
            </w:r>
            <w:r>
              <w:rPr>
                <w:rFonts w:eastAsia="仿宋_GB2312"/>
                <w:color w:val="000000"/>
              </w:rPr>
              <w:t>废水为</w:t>
            </w:r>
            <w:r>
              <w:rPr>
                <w:rFonts w:hint="eastAsia" w:eastAsia="仿宋_GB2312"/>
                <w:color w:val="000000"/>
              </w:rPr>
              <w:t>较</w:t>
            </w:r>
            <w:r>
              <w:rPr>
                <w:rFonts w:eastAsia="仿宋_GB2312"/>
                <w:color w:val="000000"/>
              </w:rPr>
              <w:t>高浓度</w:t>
            </w:r>
            <w:r>
              <w:rPr>
                <w:rFonts w:hint="eastAsia" w:eastAsia="仿宋_GB2312"/>
                <w:color w:val="000000"/>
              </w:rPr>
              <w:t>清洗</w:t>
            </w:r>
            <w:r>
              <w:rPr>
                <w:rFonts w:eastAsia="仿宋_GB2312"/>
                <w:color w:val="000000"/>
              </w:rPr>
              <w:t>废水，</w:t>
            </w:r>
            <w:r>
              <w:rPr>
                <w:rFonts w:hint="eastAsia" w:eastAsia="仿宋_GB2312"/>
                <w:color w:val="000000"/>
              </w:rPr>
              <w:t>与科研检测废液（含微量重金属标样残液）一道</w:t>
            </w:r>
            <w:r>
              <w:rPr>
                <w:rFonts w:eastAsia="仿宋_GB2312"/>
                <w:color w:val="000000"/>
              </w:rPr>
              <w:t>收集后作为危废委托有资质企业处置，</w:t>
            </w:r>
            <w:r>
              <w:rPr>
                <w:rFonts w:hint="eastAsia" w:eastAsia="仿宋_GB2312"/>
                <w:color w:val="000000"/>
              </w:rPr>
              <w:t>除此之外的</w:t>
            </w:r>
            <w:r>
              <w:rPr>
                <w:rFonts w:eastAsia="仿宋_GB2312"/>
                <w:color w:val="000000"/>
              </w:rPr>
              <w:t>废水与生活污水一并经化粪池预处理达到《污水排入城镇下水道水质标准》（GB/T31962-2015）表1中B级标准后，排入市政污水管网至江心洲污水处理厂处理，处理厂尾水达到《城镇污水处理厂污染物排放标准》（GB18918-2002）一级A标准，</w:t>
            </w:r>
            <w:r>
              <w:rPr>
                <w:rFonts w:eastAsia="仿宋_GB2312"/>
                <w:color w:val="000000"/>
                <w:spacing w:val="-3"/>
              </w:rPr>
              <w:t>氟化物(以F</w:t>
            </w:r>
            <w:r>
              <w:rPr>
                <w:rFonts w:eastAsia="仿宋_GB2312"/>
                <w:color w:val="000000"/>
                <w:spacing w:val="-3"/>
                <w:vertAlign w:val="superscript"/>
              </w:rPr>
              <w:t>-</w:t>
            </w:r>
            <w:r>
              <w:rPr>
                <w:rFonts w:eastAsia="仿宋_GB2312"/>
                <w:color w:val="000000"/>
                <w:spacing w:val="-3"/>
              </w:rPr>
              <w:t>计)达到《污水综合排放标准》（GB 8978-1996）一级标准标准</w:t>
            </w:r>
            <w:r>
              <w:rPr>
                <w:rFonts w:hint="eastAsia" w:eastAsia="仿宋_GB2312"/>
                <w:color w:val="000000"/>
                <w:spacing w:val="-3"/>
              </w:rPr>
              <w:t>限值</w:t>
            </w:r>
            <w:r>
              <w:rPr>
                <w:rFonts w:eastAsia="仿宋_GB2312"/>
                <w:color w:val="000000"/>
              </w:rPr>
              <w:t>后排入长江。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27" w:type="dxa"/>
            <w:gridSpan w:val="10"/>
            <w:vAlign w:val="center"/>
          </w:tcPr>
          <w:p>
            <w:pPr>
              <w:pStyle w:val="83"/>
              <w:snapToGrid w:val="0"/>
              <w:spacing w:line="500" w:lineRule="exact"/>
              <w:rPr>
                <w:rFonts w:ascii="Times New Roman" w:hAnsi="Times New Roman" w:eastAsia="仿宋_GB2312"/>
              </w:rPr>
            </w:pPr>
            <w:r>
              <w:rPr>
                <w:rFonts w:ascii="Times New Roman" w:hAnsi="Times New Roman" w:eastAsia="仿宋_GB2312"/>
              </w:rPr>
              <w:t>放射性同位素和伴有电磁辐射的设施的使用情况：</w:t>
            </w:r>
          </w:p>
          <w:p>
            <w:pPr>
              <w:pStyle w:val="248"/>
              <w:spacing w:line="500" w:lineRule="exact"/>
              <w:rPr>
                <w:rFonts w:eastAsia="仿宋_GB2312"/>
                <w:color w:val="000000"/>
              </w:rPr>
            </w:pPr>
            <w:r>
              <w:rPr>
                <w:rFonts w:eastAsia="仿宋_GB2312"/>
                <w:color w:val="000000"/>
              </w:rPr>
              <w:t>项目使用的设施不具有放射性同位素且不伴有电磁辐射。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7" w:type="dxa"/>
            <w:gridSpan w:val="10"/>
            <w:vAlign w:val="center"/>
          </w:tcPr>
          <w:p>
            <w:pPr>
              <w:pStyle w:val="107"/>
              <w:adjustRightInd w:val="0"/>
              <w:snapToGrid w:val="0"/>
              <w:spacing w:before="120" w:beforeLines="50" w:line="500" w:lineRule="exact"/>
              <w:ind w:firstLine="0" w:firstLineChars="0"/>
              <w:rPr>
                <w:rFonts w:eastAsia="仿宋_GB2312"/>
                <w:szCs w:val="24"/>
              </w:rPr>
            </w:pPr>
            <w:r>
              <w:rPr>
                <w:rFonts w:eastAsia="仿宋_GB2312"/>
                <w:szCs w:val="24"/>
              </w:rPr>
              <w:t>工程内容及规模：</w:t>
            </w:r>
          </w:p>
          <w:p>
            <w:pPr>
              <w:pStyle w:val="248"/>
              <w:spacing w:line="500" w:lineRule="exact"/>
              <w:ind w:firstLine="0" w:firstLineChars="0"/>
              <w:rPr>
                <w:rFonts w:eastAsia="仿宋_GB2312"/>
                <w:b/>
                <w:color w:val="000000"/>
              </w:rPr>
            </w:pPr>
            <w:r>
              <w:rPr>
                <w:rFonts w:eastAsia="仿宋_GB2312"/>
                <w:b/>
                <w:color w:val="000000"/>
              </w:rPr>
              <w:t>1、项目由来</w:t>
            </w:r>
          </w:p>
          <w:p>
            <w:pPr>
              <w:pStyle w:val="248"/>
              <w:spacing w:line="500" w:lineRule="exact"/>
              <w:rPr>
                <w:rFonts w:eastAsia="仿宋_GB2312"/>
                <w:color w:val="000000"/>
              </w:rPr>
            </w:pPr>
            <w:r>
              <w:rPr>
                <w:rFonts w:eastAsia="仿宋_GB2312"/>
                <w:color w:val="000000"/>
              </w:rPr>
              <w:t>江苏省环境科学研究院（以下简称“省环科院”）成立于1985年，在</w:t>
            </w:r>
            <w:r>
              <w:rPr>
                <w:rFonts w:hint="eastAsia" w:eastAsia="仿宋_GB2312"/>
                <w:color w:val="000000"/>
              </w:rPr>
              <w:t>原</w:t>
            </w:r>
            <w:r>
              <w:rPr>
                <w:rFonts w:eastAsia="仿宋_GB2312"/>
                <w:color w:val="000000"/>
              </w:rPr>
              <w:t>省环保厅和省科技厅的正确领导和社会各界的鼎力支持下，现已发展成为集环境科研、管理支撑、工程设计、技术咨询于一体的综合性环境科研机构，各项指标在省级同行中名列前茅，被</w:t>
            </w:r>
            <w:r>
              <w:rPr>
                <w:rFonts w:hint="eastAsia" w:eastAsia="仿宋_GB2312"/>
                <w:color w:val="000000"/>
              </w:rPr>
              <w:t>原</w:t>
            </w:r>
            <w:r>
              <w:rPr>
                <w:rFonts w:eastAsia="仿宋_GB2312"/>
                <w:color w:val="000000"/>
              </w:rPr>
              <w:t>环保部列为重点关注和支持的省级环境科研院所。业务范围为各项环保研究、专项工程设计、环保项目技术评估、技术咨询、环境监测服务。</w:t>
            </w:r>
          </w:p>
          <w:p>
            <w:pPr>
              <w:pStyle w:val="248"/>
              <w:spacing w:line="500" w:lineRule="exact"/>
              <w:rPr>
                <w:rFonts w:eastAsia="仿宋_GB2312"/>
                <w:color w:val="000000"/>
              </w:rPr>
            </w:pPr>
            <w:r>
              <w:rPr>
                <w:rFonts w:hint="eastAsia" w:eastAsia="仿宋_GB2312"/>
                <w:color w:val="000000"/>
              </w:rPr>
              <w:t>本次项目所在地凤凰西街241号实验楼原为江苏省环境监测中心使用，经江苏省生态环境厅党组研究决定，2020年3月起，鼓楼区凤凰西街241号实验楼划归江苏省环境科学研究院使用。</w:t>
            </w:r>
            <w:r>
              <w:rPr>
                <w:rFonts w:eastAsia="仿宋_GB2312"/>
                <w:color w:val="000000"/>
              </w:rPr>
              <w:t>因市场发展需要，省环科院拟投资908.2万元，在南京市鼓楼区凤凰西街241号利用现有北大楼</w:t>
            </w:r>
            <w:r>
              <w:rPr>
                <w:rFonts w:hint="eastAsia" w:eastAsia="仿宋_GB2312"/>
                <w:color w:val="000000"/>
              </w:rPr>
              <w:t>建设凤凰西街241号实验楼（北楼）内部整修工程</w:t>
            </w:r>
            <w:r>
              <w:rPr>
                <w:rFonts w:eastAsia="仿宋_GB2312"/>
                <w:color w:val="000000"/>
              </w:rPr>
              <w:t>项目。</w:t>
            </w:r>
            <w:bookmarkStart w:id="4" w:name="_Hlk43124073"/>
            <w:r>
              <w:rPr>
                <w:rFonts w:hint="eastAsia" w:eastAsia="仿宋_GB2312"/>
                <w:color w:val="000000"/>
              </w:rPr>
              <w:t>省环科院原先科研及检测实验依托江苏城市职业学院实验场地，本项目建成后，省环科院实验项目将全部移入本项目所在实验楼（主要包括大型检测仪器，试剂瓶等），</w:t>
            </w:r>
            <w:r>
              <w:rPr>
                <w:rFonts w:eastAsia="仿宋_GB2312"/>
                <w:color w:val="000000"/>
              </w:rPr>
              <w:t>主要从事固废、土壤、空气和废气、噪声、水和废水等项目的检测和科研任务，每年检测样品数约1200个，样品种类主要根据实际情况确定，基本以固废样品为主，不涉及利用放射源或具有放射性的设备进行检测的项目，不属于P3、P4生物安全实验室，不属于转基因实验室，不涉及生产。</w:t>
            </w:r>
          </w:p>
          <w:p>
            <w:pPr>
              <w:pStyle w:val="248"/>
              <w:spacing w:line="500" w:lineRule="exact"/>
              <w:rPr>
                <w:rFonts w:eastAsia="仿宋_GB2312"/>
                <w:color w:val="000000"/>
              </w:rPr>
            </w:pPr>
            <w:r>
              <w:rPr>
                <w:rFonts w:hint="eastAsia" w:eastAsia="仿宋_GB2312"/>
                <w:color w:val="000000"/>
              </w:rPr>
              <w:t>江苏省环境科学研究院目前仅有江东北路1</w:t>
            </w:r>
            <w:r>
              <w:rPr>
                <w:rFonts w:eastAsia="仿宋_GB2312"/>
                <w:color w:val="000000"/>
              </w:rPr>
              <w:t>76</w:t>
            </w:r>
            <w:r>
              <w:rPr>
                <w:rFonts w:hint="eastAsia" w:eastAsia="仿宋_GB2312"/>
                <w:color w:val="000000"/>
              </w:rPr>
              <w:t>号所在地办公楼，不从事生产建设项目，原有依托江苏城市职业学院实验室已不再使用，由学校接管。本项目依托江苏省环境监测中心原实验大楼（现空置）进行改造升级，仅进行</w:t>
            </w:r>
            <w:r>
              <w:rPr>
                <w:rFonts w:eastAsia="仿宋_GB2312"/>
                <w:color w:val="000000"/>
              </w:rPr>
              <w:t>装修工程、设备安装和调试</w:t>
            </w:r>
            <w:r>
              <w:rPr>
                <w:rFonts w:hint="eastAsia" w:eastAsia="仿宋_GB2312"/>
                <w:color w:val="000000"/>
              </w:rPr>
              <w:t>，不改变大楼主体结构。</w:t>
            </w:r>
          </w:p>
          <w:bookmarkEnd w:id="4"/>
          <w:p>
            <w:pPr>
              <w:pStyle w:val="248"/>
              <w:spacing w:line="500" w:lineRule="exact"/>
              <w:rPr>
                <w:rFonts w:eastAsia="仿宋_GB2312"/>
                <w:color w:val="000000"/>
              </w:rPr>
            </w:pPr>
            <w:r>
              <w:rPr>
                <w:rFonts w:eastAsia="仿宋_GB2312"/>
                <w:color w:val="000000"/>
              </w:rPr>
              <w:t>本项目已于2020年12月30日取得</w:t>
            </w:r>
            <w:r>
              <w:rPr>
                <w:rFonts w:hint="eastAsia" w:eastAsia="仿宋_GB2312"/>
                <w:color w:val="000000"/>
              </w:rPr>
              <w:t>南京市鼓楼区行政审批局</w:t>
            </w:r>
            <w:r>
              <w:rPr>
                <w:rFonts w:eastAsia="仿宋_GB2312"/>
                <w:color w:val="000000"/>
              </w:rPr>
              <w:t>备案批复，备案号为</w:t>
            </w:r>
            <w:r>
              <w:rPr>
                <w:rFonts w:hint="eastAsia" w:eastAsia="仿宋_GB2312"/>
                <w:color w:val="000000"/>
              </w:rPr>
              <w:t>鼓楼行审备[2</w:t>
            </w:r>
            <w:r>
              <w:rPr>
                <w:rFonts w:eastAsia="仿宋_GB2312"/>
                <w:color w:val="000000"/>
              </w:rPr>
              <w:t>020]161</w:t>
            </w:r>
            <w:r>
              <w:rPr>
                <w:rFonts w:hint="eastAsia" w:eastAsia="仿宋_GB2312"/>
                <w:color w:val="000000"/>
              </w:rPr>
              <w:t>号</w:t>
            </w:r>
            <w:r>
              <w:rPr>
                <w:rFonts w:eastAsia="仿宋_GB2312"/>
                <w:color w:val="000000"/>
              </w:rPr>
              <w:t>，项目代码为2012-320106-89-02-986539。</w:t>
            </w:r>
          </w:p>
          <w:p>
            <w:pPr>
              <w:pStyle w:val="248"/>
              <w:spacing w:line="500" w:lineRule="exact"/>
              <w:rPr>
                <w:rFonts w:eastAsia="仿宋_GB2312"/>
                <w:color w:val="000000"/>
                <w:kern w:val="0"/>
              </w:rPr>
            </w:pPr>
            <w:r>
              <w:rPr>
                <w:rFonts w:eastAsia="仿宋_GB2312"/>
                <w:color w:val="000000"/>
                <w:kern w:val="0"/>
              </w:rPr>
              <w:t>根据《中华人民共和国环境影响评价法》的有关规定，南京大学环境规划设计研究院集团股份公司受江苏省环境科学研究院委托，承担</w:t>
            </w:r>
            <w:r>
              <w:rPr>
                <w:rFonts w:hint="eastAsia" w:eastAsia="仿宋_GB2312"/>
                <w:color w:val="000000"/>
                <w:kern w:val="0"/>
              </w:rPr>
              <w:t>凤凰西街241号实验楼（北楼）内部整修工程项目</w:t>
            </w:r>
            <w:r>
              <w:rPr>
                <w:rFonts w:eastAsia="仿宋_GB2312"/>
                <w:color w:val="000000"/>
                <w:kern w:val="0"/>
              </w:rPr>
              <w:t>的环境影响评价工作。为此，环评单位的技术人员在现场查勘、基础资料收集和工程分析的基础上，编制完成了《</w:t>
            </w:r>
            <w:r>
              <w:rPr>
                <w:rFonts w:hint="eastAsia" w:eastAsia="仿宋_GB2312"/>
                <w:color w:val="000000"/>
                <w:kern w:val="0"/>
              </w:rPr>
              <w:t>凤凰西街241号实验楼（北楼）内部整修工程</w:t>
            </w:r>
            <w:r>
              <w:rPr>
                <w:rFonts w:eastAsia="仿宋_GB2312"/>
                <w:color w:val="000000"/>
                <w:kern w:val="0"/>
              </w:rPr>
              <w:t>项目环境影响报告表》，提交主管部门供决策使用。</w:t>
            </w:r>
          </w:p>
          <w:p>
            <w:pPr>
              <w:pStyle w:val="80"/>
              <w:spacing w:afterLines="0" w:line="500" w:lineRule="exact"/>
              <w:ind w:firstLine="0" w:firstLineChars="0"/>
              <w:rPr>
                <w:rFonts w:eastAsia="仿宋_GB2312"/>
                <w:color w:val="000000"/>
                <w:szCs w:val="24"/>
              </w:rPr>
            </w:pPr>
            <w:r>
              <w:rPr>
                <w:rFonts w:eastAsia="仿宋_GB2312"/>
                <w:color w:val="000000"/>
                <w:szCs w:val="24"/>
              </w:rPr>
              <w:t>2、项目概况</w:t>
            </w:r>
          </w:p>
          <w:p>
            <w:pPr>
              <w:pStyle w:val="82"/>
              <w:spacing w:line="500" w:lineRule="exact"/>
              <w:rPr>
                <w:rFonts w:eastAsia="仿宋_GB2312"/>
                <w:szCs w:val="24"/>
              </w:rPr>
            </w:pPr>
            <w:r>
              <w:rPr>
                <w:rFonts w:eastAsia="仿宋_GB2312"/>
                <w:szCs w:val="24"/>
              </w:rPr>
              <w:t>项目名称：</w:t>
            </w:r>
            <w:r>
              <w:rPr>
                <w:rFonts w:hint="eastAsia" w:eastAsia="仿宋_GB2312"/>
                <w:szCs w:val="24"/>
              </w:rPr>
              <w:t>凤凰西街241号实验楼（北楼）内部整修工程</w:t>
            </w:r>
          </w:p>
          <w:p>
            <w:pPr>
              <w:pStyle w:val="82"/>
              <w:spacing w:line="500" w:lineRule="exact"/>
              <w:rPr>
                <w:rFonts w:eastAsia="仿宋_GB2312"/>
                <w:szCs w:val="24"/>
              </w:rPr>
            </w:pPr>
            <w:r>
              <w:rPr>
                <w:rFonts w:eastAsia="仿宋_GB2312"/>
                <w:szCs w:val="24"/>
              </w:rPr>
              <w:t>建设单位：江苏省环境科学研究院</w:t>
            </w:r>
          </w:p>
          <w:p>
            <w:pPr>
              <w:pStyle w:val="82"/>
              <w:spacing w:line="500" w:lineRule="exact"/>
              <w:rPr>
                <w:rFonts w:eastAsia="仿宋_GB2312"/>
                <w:szCs w:val="24"/>
              </w:rPr>
            </w:pPr>
            <w:r>
              <w:rPr>
                <w:rFonts w:eastAsia="仿宋_GB2312"/>
                <w:szCs w:val="24"/>
              </w:rPr>
              <w:t>项目性质：</w:t>
            </w:r>
            <w:r>
              <w:rPr>
                <w:rFonts w:hint="eastAsia" w:eastAsia="仿宋_GB2312"/>
                <w:szCs w:val="24"/>
              </w:rPr>
              <w:t>改建</w:t>
            </w:r>
          </w:p>
          <w:p>
            <w:pPr>
              <w:pStyle w:val="82"/>
              <w:spacing w:line="500" w:lineRule="exact"/>
              <w:rPr>
                <w:rFonts w:eastAsia="仿宋_GB2312"/>
                <w:szCs w:val="24"/>
              </w:rPr>
            </w:pPr>
            <w:r>
              <w:rPr>
                <w:rFonts w:eastAsia="仿宋_GB2312"/>
                <w:szCs w:val="24"/>
              </w:rPr>
              <w:t>建设地点：</w:t>
            </w:r>
            <w:r>
              <w:rPr>
                <w:rFonts w:hint="eastAsia" w:eastAsia="仿宋_GB2312"/>
                <w:szCs w:val="24"/>
              </w:rPr>
              <w:t>江苏省</w:t>
            </w:r>
            <w:r>
              <w:rPr>
                <w:rFonts w:eastAsia="仿宋_GB2312"/>
                <w:szCs w:val="24"/>
              </w:rPr>
              <w:t>南京市鼓楼区凤凰西街241号</w:t>
            </w:r>
          </w:p>
          <w:p>
            <w:pPr>
              <w:pStyle w:val="82"/>
              <w:spacing w:line="500" w:lineRule="exact"/>
              <w:rPr>
                <w:rFonts w:eastAsia="仿宋_GB2312"/>
                <w:szCs w:val="24"/>
              </w:rPr>
            </w:pPr>
            <w:r>
              <w:rPr>
                <w:rFonts w:eastAsia="仿宋_GB2312"/>
                <w:szCs w:val="24"/>
              </w:rPr>
              <w:t>投资总额：908.2万元</w:t>
            </w:r>
          </w:p>
          <w:p>
            <w:pPr>
              <w:pStyle w:val="91"/>
              <w:spacing w:line="500" w:lineRule="exact"/>
              <w:ind w:firstLine="480"/>
              <w:rPr>
                <w:rFonts w:eastAsia="仿宋_GB2312"/>
                <w:color w:val="000000"/>
                <w:szCs w:val="24"/>
              </w:rPr>
            </w:pPr>
            <w:r>
              <w:rPr>
                <w:rFonts w:eastAsia="仿宋_GB2312"/>
                <w:color w:val="000000"/>
                <w:szCs w:val="24"/>
              </w:rPr>
              <w:t>职工人数及工作制度：建设项目劳动定员27人，实行白班8小时工作制度，年有效工作日为250天，不提供食宿。</w:t>
            </w:r>
          </w:p>
          <w:p>
            <w:pPr>
              <w:pStyle w:val="91"/>
              <w:spacing w:line="500" w:lineRule="exact"/>
              <w:ind w:firstLine="480"/>
              <w:rPr>
                <w:rFonts w:eastAsia="仿宋_GB2312"/>
                <w:color w:val="000000"/>
                <w:szCs w:val="24"/>
              </w:rPr>
            </w:pPr>
            <w:r>
              <w:rPr>
                <w:rFonts w:eastAsia="仿宋_GB2312"/>
                <w:color w:val="000000"/>
                <w:szCs w:val="24"/>
              </w:rPr>
              <w:t>项目地理位置图见附图1。</w:t>
            </w:r>
          </w:p>
          <w:p>
            <w:pPr>
              <w:pStyle w:val="107"/>
              <w:spacing w:line="500" w:lineRule="exact"/>
              <w:ind w:firstLine="0" w:firstLineChars="0"/>
              <w:rPr>
                <w:rFonts w:eastAsia="仿宋_GB2312"/>
                <w:szCs w:val="24"/>
              </w:rPr>
            </w:pPr>
            <w:r>
              <w:rPr>
                <w:rFonts w:eastAsia="仿宋_GB2312"/>
                <w:szCs w:val="24"/>
              </w:rPr>
              <w:t>3、</w:t>
            </w:r>
            <w:r>
              <w:rPr>
                <w:rFonts w:hint="eastAsia" w:eastAsia="仿宋_GB2312"/>
                <w:szCs w:val="24"/>
              </w:rPr>
              <w:t>相符性分析</w:t>
            </w:r>
          </w:p>
          <w:p>
            <w:pPr>
              <w:pStyle w:val="80"/>
              <w:spacing w:afterLines="0" w:line="500" w:lineRule="exact"/>
              <w:ind w:firstLine="480"/>
              <w:outlineLvl w:val="9"/>
              <w:rPr>
                <w:rFonts w:eastAsia="仿宋_GB2312"/>
                <w:b w:val="0"/>
                <w:bCs/>
                <w:color w:val="000000"/>
                <w:szCs w:val="24"/>
              </w:rPr>
            </w:pPr>
            <w:r>
              <w:rPr>
                <w:rFonts w:eastAsia="仿宋_GB2312"/>
                <w:b w:val="0"/>
                <w:color w:val="000000"/>
                <w:kern w:val="0"/>
                <w:szCs w:val="24"/>
              </w:rPr>
              <w:t>根据《建设项目环境影响评价技术导则 总纲》（HJ 2.1-2016），通过收集、研究该项目的相关资料及其它相关文件，对项目进行了初步分析判定。初步分析判定结果见表1-4。</w:t>
            </w:r>
          </w:p>
          <w:p>
            <w:pPr>
              <w:pStyle w:val="78"/>
              <w:spacing w:before="0" w:after="0" w:line="500" w:lineRule="exact"/>
              <w:rPr>
                <w:rFonts w:eastAsia="仿宋_GB2312"/>
                <w:b/>
                <w:bCs/>
                <w:color w:val="000000"/>
                <w:szCs w:val="24"/>
              </w:rPr>
            </w:pPr>
            <w:r>
              <w:rPr>
                <w:rFonts w:eastAsia="仿宋_GB2312"/>
                <w:b/>
                <w:bCs/>
                <w:color w:val="000000"/>
                <w:szCs w:val="24"/>
              </w:rPr>
              <w:t>表1-4  项目</w:t>
            </w:r>
            <w:r>
              <w:rPr>
                <w:rFonts w:hint="eastAsia" w:eastAsia="仿宋_GB2312"/>
                <w:b/>
                <w:bCs/>
                <w:color w:val="000000"/>
                <w:szCs w:val="24"/>
              </w:rPr>
              <w:t>相符性分析</w:t>
            </w:r>
            <w:r>
              <w:rPr>
                <w:rFonts w:eastAsia="仿宋_GB2312"/>
                <w:b/>
                <w:bCs/>
                <w:color w:val="000000"/>
                <w:szCs w:val="24"/>
              </w:rPr>
              <w:t>情况表</w:t>
            </w:r>
          </w:p>
          <w:tbl>
            <w:tblPr>
              <w:tblStyle w:val="38"/>
              <w:tblW w:w="8810"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497"/>
              <w:gridCol w:w="3528"/>
              <w:gridCol w:w="431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52" w:type="pct"/>
                  <w:gridSpan w:val="3"/>
                  <w:vAlign w:val="center"/>
                </w:tcPr>
                <w:p>
                  <w:pPr>
                    <w:pStyle w:val="112"/>
                    <w:kinsoku w:val="0"/>
                    <w:overflowPunct w:val="0"/>
                    <w:autoSpaceDE w:val="0"/>
                    <w:autoSpaceDN w:val="0"/>
                    <w:rPr>
                      <w:rFonts w:eastAsia="仿宋_GB2312"/>
                      <w:b/>
                      <w:snapToGrid w:val="0"/>
                      <w:sz w:val="21"/>
                      <w:szCs w:val="21"/>
                    </w:rPr>
                  </w:pPr>
                  <w:bookmarkStart w:id="5" w:name="_Hlk37407203"/>
                  <w:r>
                    <w:rPr>
                      <w:rFonts w:eastAsia="仿宋_GB2312"/>
                      <w:b/>
                      <w:snapToGrid w:val="0"/>
                      <w:sz w:val="21"/>
                      <w:szCs w:val="21"/>
                    </w:rPr>
                    <w:t>判定依据</w:t>
                  </w:r>
                </w:p>
              </w:tc>
              <w:tc>
                <w:tcPr>
                  <w:tcW w:w="2448" w:type="pct"/>
                  <w:vAlign w:val="center"/>
                </w:tcPr>
                <w:p>
                  <w:pPr>
                    <w:pStyle w:val="112"/>
                    <w:kinsoku w:val="0"/>
                    <w:overflowPunct w:val="0"/>
                    <w:autoSpaceDE w:val="0"/>
                    <w:autoSpaceDN w:val="0"/>
                    <w:rPr>
                      <w:rFonts w:eastAsia="仿宋_GB2312"/>
                      <w:b/>
                      <w:snapToGrid w:val="0"/>
                      <w:sz w:val="21"/>
                      <w:szCs w:val="21"/>
                    </w:rPr>
                  </w:pPr>
                  <w:r>
                    <w:rPr>
                      <w:rFonts w:eastAsia="仿宋_GB2312"/>
                      <w:b/>
                      <w:snapToGrid w:val="0"/>
                      <w:sz w:val="21"/>
                      <w:szCs w:val="21"/>
                    </w:rPr>
                    <w:t>项目相符性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pct"/>
                  <w:gridSpan w:val="2"/>
                  <w:vMerge w:val="restar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产业</w:t>
                  </w:r>
                </w:p>
                <w:p>
                  <w:pPr>
                    <w:pStyle w:val="112"/>
                    <w:kinsoku w:val="0"/>
                    <w:overflowPunct w:val="0"/>
                    <w:autoSpaceDE w:val="0"/>
                    <w:autoSpaceDN w:val="0"/>
                    <w:rPr>
                      <w:rFonts w:eastAsia="仿宋_GB2312"/>
                      <w:snapToGrid w:val="0"/>
                      <w:sz w:val="21"/>
                      <w:szCs w:val="21"/>
                    </w:rPr>
                  </w:pPr>
                  <w:r>
                    <w:rPr>
                      <w:rFonts w:eastAsia="仿宋_GB2312"/>
                      <w:snapToGrid w:val="0"/>
                      <w:sz w:val="21"/>
                      <w:szCs w:val="21"/>
                    </w:rPr>
                    <w:t>政策</w:t>
                  </w: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《产业结构调整指导目录》（2019年本）（2020年1月1日起施行）</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项目属于鼓励类第三十一条中“1、工业设计、气象、生物、新材料、新能源、节能、环保、测绘、海洋等专业科技服务，标准化服务、计量测试、质量认证和检验检测服务、科技普及。”</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pct"/>
                  <w:gridSpan w:val="2"/>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《江苏省工业和信息产业结构调整指导目录》（2012年本）（苏政办发[2013]9号）、《关于修改&lt;江苏省工业和信息产业结构调整指导目录（2012年本）&gt;部分条目的通知》（苏经信产业[2013]183号）</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项目属于鼓励类第二十条中“12、工业设计、气象、生物、新材料、新能源、节能、环保、测绘、海洋等专业科技服务，商品质量认证和质量检测服务、科技普及。”</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pct"/>
                  <w:gridSpan w:val="2"/>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z w:val="21"/>
                      <w:szCs w:val="21"/>
                    </w:rPr>
                    <w:t>《限制用地项目目录（2012年本）》、《禁止用地项目目录（2012年本）》、《江苏省限制用地项目目录（2013年本）》、《江苏省禁止用地项目目录（2013年本）》</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项目不属于其中限制和禁止用地项目，属于允许建设项目。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550" w:type="pct"/>
                  <w:gridSpan w:val="2"/>
                  <w:vMerge w:val="restart"/>
                  <w:tcBorders>
                    <w:bottom w:val="single" w:color="auto" w:sz="4" w:space="0"/>
                  </w:tcBorders>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国家和地方有关环境保护规范</w:t>
                  </w:r>
                </w:p>
              </w:tc>
              <w:tc>
                <w:tcPr>
                  <w:tcW w:w="2002" w:type="pct"/>
                  <w:tcBorders>
                    <w:bottom w:val="single" w:color="auto" w:sz="4" w:space="0"/>
                  </w:tcBorders>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《国务院关于印发打赢蓝天保卫战三年行动计划的通知》（国发[2018]22号）</w:t>
                  </w:r>
                </w:p>
              </w:tc>
              <w:tc>
                <w:tcPr>
                  <w:tcW w:w="2448" w:type="pct"/>
                  <w:vMerge w:val="restart"/>
                  <w:tcBorders>
                    <w:bottom w:val="single" w:color="auto" w:sz="4" w:space="0"/>
                  </w:tcBorders>
                  <w:vAlign w:val="center"/>
                </w:tcPr>
                <w:p>
                  <w:pPr>
                    <w:pStyle w:val="112"/>
                    <w:kinsoku w:val="0"/>
                    <w:overflowPunct w:val="0"/>
                    <w:autoSpaceDE w:val="0"/>
                    <w:autoSpaceDN w:val="0"/>
                    <w:jc w:val="left"/>
                    <w:rPr>
                      <w:rFonts w:eastAsia="仿宋_GB2312"/>
                      <w:snapToGrid w:val="0"/>
                      <w:sz w:val="21"/>
                      <w:szCs w:val="21"/>
                    </w:rPr>
                  </w:pPr>
                  <w:r>
                    <w:rPr>
                      <w:rFonts w:hint="eastAsia" w:eastAsia="仿宋_GB2312"/>
                      <w:snapToGrid w:val="0"/>
                      <w:sz w:val="21"/>
                      <w:szCs w:val="21"/>
                    </w:rPr>
                    <w:t>项目不使用煤炭；不属于禁止的钢铁、焦化、电解铝、铸造、水泥和平板玻璃项目；通过采用过程管理、末端治理全过程污染控制措施，减少挥发性有机物排放，实验产生的挥发性有机物经通风橱/集气罩收集后通过活性炭吸附处理，达标排放。</w:t>
                  </w:r>
                  <w:r>
                    <w:rPr>
                      <w:rFonts w:eastAsia="仿宋_GB2312"/>
                      <w:snapToGrid w:val="0"/>
                      <w:sz w:val="21"/>
                      <w:szCs w:val="21"/>
                    </w:rPr>
                    <w:t>因此，项目符合方案要求。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pct"/>
                  <w:gridSpan w:val="2"/>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《江苏省打赢蓝天保卫战三年行动计划实施方案》（苏政发[2018]122号）</w:t>
                  </w:r>
                </w:p>
              </w:tc>
              <w:tc>
                <w:tcPr>
                  <w:tcW w:w="2448" w:type="pct"/>
                  <w:vMerge w:val="continue"/>
                  <w:vAlign w:val="center"/>
                </w:tcPr>
                <w:p>
                  <w:pPr>
                    <w:pStyle w:val="112"/>
                    <w:kinsoku w:val="0"/>
                    <w:overflowPunct w:val="0"/>
                    <w:autoSpaceDE w:val="0"/>
                    <w:autoSpaceDN w:val="0"/>
                    <w:rPr>
                      <w:rFonts w:eastAsia="仿宋_GB2312"/>
                      <w:snapToGrid w:val="0"/>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550" w:type="pct"/>
                  <w:gridSpan w:val="2"/>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《“两减六治三提升”专项行动方案》（苏发[2016]47号）</w:t>
                  </w:r>
                </w:p>
              </w:tc>
              <w:tc>
                <w:tcPr>
                  <w:tcW w:w="2448" w:type="pct"/>
                  <w:vMerge w:val="restart"/>
                  <w:vAlign w:val="center"/>
                </w:tcPr>
                <w:p>
                  <w:pPr>
                    <w:pStyle w:val="112"/>
                    <w:kinsoku w:val="0"/>
                    <w:overflowPunct w:val="0"/>
                    <w:autoSpaceDE w:val="0"/>
                    <w:autoSpaceDN w:val="0"/>
                    <w:jc w:val="left"/>
                    <w:rPr>
                      <w:rFonts w:eastAsia="仿宋_GB2312"/>
                      <w:snapToGrid w:val="0"/>
                      <w:sz w:val="21"/>
                      <w:szCs w:val="21"/>
                    </w:rPr>
                  </w:pPr>
                  <w:r>
                    <w:rPr>
                      <w:rFonts w:hint="eastAsia" w:eastAsia="仿宋_GB2312"/>
                      <w:snapToGrid w:val="0"/>
                      <w:sz w:val="21"/>
                      <w:szCs w:val="21"/>
                    </w:rPr>
                    <w:t>项目不使用燃煤等高耗能燃料；不属于落后化工项目；产生的生活垃圾委托环卫部门清运；不在生态红线保护区范围内；本项目实验室试剂配制废液及前两道清洗废水收集后作为危废处置，后续清洗废水与生活污水一并通过化粪池处理后接管至江心洲污水处理厂进行处理，对周边水体环境影响较小；通过采用过程管理、末端治理全过程污染控制措施，减少挥发性有机物排放，实验过程产生的挥发性有机废气经通风橱/集气罩收集后通过活性炭吸附装置处理，达标排放</w:t>
                  </w:r>
                  <w:r>
                    <w:rPr>
                      <w:rFonts w:eastAsia="仿宋_GB2312"/>
                      <w:snapToGrid w:val="0"/>
                      <w:sz w:val="21"/>
                      <w:szCs w:val="21"/>
                    </w:rPr>
                    <w:t>。因此，项目符合方案要求。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pct"/>
                  <w:gridSpan w:val="2"/>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《江苏省“两减六治三提升”专项行动实施方案》（苏政办发[2017]30号）</w:t>
                  </w:r>
                </w:p>
              </w:tc>
              <w:tc>
                <w:tcPr>
                  <w:tcW w:w="2448" w:type="pct"/>
                  <w:vMerge w:val="continue"/>
                  <w:vAlign w:val="center"/>
                </w:tcPr>
                <w:p>
                  <w:pPr>
                    <w:pStyle w:val="112"/>
                    <w:kinsoku w:val="0"/>
                    <w:overflowPunct w:val="0"/>
                    <w:autoSpaceDE w:val="0"/>
                    <w:autoSpaceDN w:val="0"/>
                    <w:jc w:val="left"/>
                    <w:rPr>
                      <w:rFonts w:eastAsia="仿宋_GB2312"/>
                      <w:snapToGrid w:val="0"/>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pct"/>
                  <w:gridSpan w:val="2"/>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城市总体规划</w:t>
                  </w:r>
                </w:p>
              </w:tc>
              <w:tc>
                <w:tcPr>
                  <w:tcW w:w="2002" w:type="pct"/>
                  <w:vAlign w:val="center"/>
                </w:tcPr>
                <w:p>
                  <w:pPr>
                    <w:pStyle w:val="112"/>
                    <w:kinsoku w:val="0"/>
                    <w:overflowPunct w:val="0"/>
                    <w:autoSpaceDE w:val="0"/>
                    <w:autoSpaceDN w:val="0"/>
                    <w:rPr>
                      <w:rFonts w:eastAsia="仿宋_GB2312"/>
                      <w:sz w:val="21"/>
                      <w:szCs w:val="21"/>
                    </w:rPr>
                  </w:pPr>
                  <w:r>
                    <w:rPr>
                      <w:rFonts w:eastAsia="仿宋_GB2312"/>
                      <w:sz w:val="21"/>
                      <w:szCs w:val="21"/>
                    </w:rPr>
                    <w:t>《南京市鼓楼区总体规划》</w:t>
                  </w:r>
                </w:p>
                <w:p>
                  <w:pPr>
                    <w:pStyle w:val="112"/>
                    <w:kinsoku w:val="0"/>
                    <w:overflowPunct w:val="0"/>
                    <w:autoSpaceDE w:val="0"/>
                    <w:autoSpaceDN w:val="0"/>
                    <w:rPr>
                      <w:rFonts w:eastAsia="仿宋_GB2312"/>
                      <w:sz w:val="21"/>
                      <w:szCs w:val="21"/>
                    </w:rPr>
                  </w:pPr>
                  <w:r>
                    <w:rPr>
                      <w:rFonts w:eastAsia="仿宋_GB2312"/>
                      <w:sz w:val="21"/>
                      <w:szCs w:val="21"/>
                    </w:rPr>
                    <w:t>（2013-2030）</w:t>
                  </w:r>
                </w:p>
              </w:tc>
              <w:tc>
                <w:tcPr>
                  <w:tcW w:w="2448" w:type="pct"/>
                  <w:vAlign w:val="center"/>
                </w:tcPr>
                <w:p>
                  <w:pPr>
                    <w:autoSpaceDE w:val="0"/>
                    <w:autoSpaceDN w:val="0"/>
                    <w:adjustRightInd w:val="0"/>
                    <w:snapToGrid w:val="0"/>
                    <w:jc w:val="left"/>
                    <w:rPr>
                      <w:rFonts w:ascii="Times New Roman" w:hAnsi="Times New Roman" w:eastAsia="仿宋_GB2312"/>
                      <w:color w:val="000000"/>
                      <w:szCs w:val="21"/>
                    </w:rPr>
                  </w:pPr>
                  <w:r>
                    <w:rPr>
                      <w:rFonts w:hint="eastAsia" w:ascii="Times New Roman" w:hAnsi="Times New Roman" w:eastAsia="仿宋_GB2312"/>
                      <w:color w:val="000000"/>
                      <w:szCs w:val="21"/>
                    </w:rPr>
                    <w:t>项目位于南京市鼓楼区凤凰西街241号，对照《南京市鼓楼区总体规划》（2013-2030），规划用地性质为科研用地，与规划相符。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511" w:hRule="atLeast"/>
              </w:trPr>
              <w:tc>
                <w:tcPr>
                  <w:tcW w:w="268" w:type="pct"/>
                  <w:vMerge w:val="restar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三线一单</w:t>
                  </w:r>
                </w:p>
              </w:tc>
              <w:tc>
                <w:tcPr>
                  <w:tcW w:w="28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生态保护红线</w:t>
                  </w:r>
                </w:p>
              </w:tc>
              <w:tc>
                <w:tcPr>
                  <w:tcW w:w="4450" w:type="pct"/>
                  <w:gridSpan w:val="2"/>
                  <w:vAlign w:val="center"/>
                </w:tcPr>
                <w:p>
                  <w:pPr>
                    <w:pStyle w:val="112"/>
                    <w:kinsoku w:val="0"/>
                    <w:overflowPunct w:val="0"/>
                    <w:autoSpaceDE w:val="0"/>
                    <w:autoSpaceDN w:val="0"/>
                    <w:jc w:val="left"/>
                    <w:rPr>
                      <w:rFonts w:eastAsia="仿宋_GB2312"/>
                      <w:sz w:val="21"/>
                      <w:szCs w:val="21"/>
                    </w:rPr>
                  </w:pPr>
                  <w:r>
                    <w:rPr>
                      <w:rFonts w:hint="eastAsia" w:eastAsia="仿宋_GB2312"/>
                      <w:sz w:val="21"/>
                      <w:szCs w:val="21"/>
                    </w:rPr>
                    <w:t>本项目不在《江苏省国家级生态保护红线规划》（苏政发[2018]74号）、《江苏省生态空间管控区域规划》（苏政发[2020]1号）的生态管控区和国家级生态红线区域范围内，距离最近的生态空间管控区域为秦淮河（南京市区）洪水调蓄区，位于本项目东北侧，距离约730m，具体信息见表1-</w:t>
                  </w:r>
                  <w:r>
                    <w:rPr>
                      <w:rFonts w:eastAsia="仿宋_GB2312"/>
                      <w:sz w:val="21"/>
                      <w:szCs w:val="21"/>
                    </w:rPr>
                    <w:t>5</w:t>
                  </w:r>
                  <w:r>
                    <w:rPr>
                      <w:rFonts w:hint="eastAsia" w:eastAsia="仿宋_GB2312"/>
                      <w:sz w:val="21"/>
                      <w:szCs w:val="21"/>
                    </w:rPr>
                    <w:t>。本项目不从事影响生态管控区域和国家级生态红线服务功能的活动，与《江苏省国家级生态保护红线规划》（苏政发[2018]74号）、《江苏省生态空间管控区域规划》（苏政发[2020]1号）相符。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环境质量底线</w:t>
                  </w:r>
                </w:p>
              </w:tc>
              <w:tc>
                <w:tcPr>
                  <w:tcW w:w="4450" w:type="pct"/>
                  <w:gridSpan w:val="2"/>
                  <w:vAlign w:val="center"/>
                </w:tcPr>
                <w:p>
                  <w:pPr>
                    <w:pStyle w:val="112"/>
                    <w:kinsoku w:val="0"/>
                    <w:overflowPunct w:val="0"/>
                    <w:autoSpaceDE w:val="0"/>
                    <w:autoSpaceDN w:val="0"/>
                    <w:jc w:val="left"/>
                    <w:rPr>
                      <w:rFonts w:eastAsia="仿宋_GB2312"/>
                      <w:bCs/>
                      <w:snapToGrid w:val="0"/>
                      <w:sz w:val="21"/>
                      <w:szCs w:val="21"/>
                    </w:rPr>
                  </w:pPr>
                  <w:r>
                    <w:rPr>
                      <w:rFonts w:eastAsia="仿宋_GB2312"/>
                      <w:sz w:val="21"/>
                      <w:szCs w:val="21"/>
                    </w:rPr>
                    <w:t>项目所在区域的声、地表水环境质量较好，可达到相应的环境功能区划要求；</w:t>
                  </w:r>
                  <w:r>
                    <w:rPr>
                      <w:rFonts w:hint="eastAsia" w:eastAsia="仿宋_GB2312"/>
                      <w:szCs w:val="21"/>
                    </w:rPr>
                    <w:t>根据</w:t>
                  </w:r>
                  <w:r>
                    <w:rPr>
                      <w:rFonts w:hint="eastAsia" w:eastAsia="仿宋_GB2312"/>
                      <w:sz w:val="21"/>
                      <w:szCs w:val="21"/>
                    </w:rPr>
                    <w:t>《</w:t>
                  </w:r>
                  <w:r>
                    <w:rPr>
                      <w:rFonts w:eastAsia="仿宋_GB2312"/>
                      <w:sz w:val="21"/>
                      <w:szCs w:val="21"/>
                    </w:rPr>
                    <w:t>2019</w:t>
                  </w:r>
                  <w:r>
                    <w:rPr>
                      <w:rFonts w:hint="eastAsia" w:eastAsia="仿宋_GB2312"/>
                      <w:sz w:val="21"/>
                      <w:szCs w:val="21"/>
                    </w:rPr>
                    <w:t>年南京市环境状况公报》</w:t>
                  </w:r>
                  <w:r>
                    <w:rPr>
                      <w:rFonts w:hint="eastAsia" w:eastAsia="仿宋_GB2312"/>
                      <w:szCs w:val="21"/>
                    </w:rPr>
                    <w:t>，</w:t>
                  </w:r>
                  <w:r>
                    <w:rPr>
                      <w:rFonts w:eastAsia="仿宋_GB2312"/>
                      <w:sz w:val="21"/>
                      <w:szCs w:val="21"/>
                    </w:rPr>
                    <w:t>项目所在区域属于环境空气不达标区，不达标项为</w:t>
                  </w:r>
                  <w:r>
                    <w:rPr>
                      <w:rFonts w:hint="eastAsia" w:eastAsia="仿宋_GB2312"/>
                      <w:sz w:val="21"/>
                      <w:szCs w:val="21"/>
                    </w:rPr>
                    <w:t>O</w:t>
                  </w:r>
                  <w:r>
                    <w:rPr>
                      <w:rFonts w:hint="eastAsia" w:eastAsia="仿宋_GB2312"/>
                      <w:sz w:val="21"/>
                      <w:szCs w:val="21"/>
                      <w:vertAlign w:val="subscript"/>
                    </w:rPr>
                    <w:t>3</w:t>
                  </w:r>
                  <w:r>
                    <w:rPr>
                      <w:rFonts w:hint="eastAsia" w:eastAsia="仿宋_GB2312"/>
                      <w:sz w:val="21"/>
                      <w:szCs w:val="21"/>
                    </w:rPr>
                    <w:t>和PM</w:t>
                  </w:r>
                  <w:r>
                    <w:rPr>
                      <w:rFonts w:hint="eastAsia" w:eastAsia="仿宋_GB2312"/>
                      <w:sz w:val="21"/>
                      <w:szCs w:val="21"/>
                      <w:vertAlign w:val="subscript"/>
                    </w:rPr>
                    <w:t>2.5</w:t>
                  </w:r>
                  <w:r>
                    <w:rPr>
                      <w:rFonts w:eastAsia="仿宋_GB2312"/>
                      <w:sz w:val="21"/>
                      <w:szCs w:val="21"/>
                    </w:rPr>
                    <w:t>，超标原因为区域性环境污染问题，随着南京市大气污染防治行动的逐步推进，通过落实政策措施、扬尘污染防治、重点行业废气整治、机动车污染防治、秸秆禁烧以及削减煤炭消费等措施后，区域空气环境将得到逐步改善。因此，项目所在区域的环境质量基本满足项目的需要。根据环境影响分析，项目运营期产生的废气、废水、固废均能得到合理处置，对周边的影响较小，符合环境质量底线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资源利用上线</w:t>
                  </w:r>
                </w:p>
              </w:tc>
              <w:tc>
                <w:tcPr>
                  <w:tcW w:w="4450" w:type="pct"/>
                  <w:gridSpan w:val="2"/>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本项目利用现有大楼建设实验室，不占用新的土地资源。运营期所利用的资源主要为水资源、电能，</w:t>
                  </w:r>
                  <w:r>
                    <w:rPr>
                      <w:rFonts w:hint="eastAsia" w:eastAsia="仿宋_GB2312"/>
                      <w:snapToGrid w:val="0"/>
                      <w:sz w:val="21"/>
                      <w:szCs w:val="21"/>
                    </w:rPr>
                    <w:t>依托现有大楼供电及供水措施</w:t>
                  </w:r>
                  <w:r>
                    <w:rPr>
                      <w:rFonts w:eastAsia="仿宋_GB2312"/>
                      <w:snapToGrid w:val="0"/>
                      <w:sz w:val="21"/>
                      <w:szCs w:val="21"/>
                    </w:rPr>
                    <w:t>，项目用水量较小，约364.2 t/a，所在地水资源丰富且供水设施可满足用水需要；项目年用电量约9万kw·h，所在地供电设施可满足用电需要。因此，项目符合资源利用上线要求。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Merge w:val="restar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环境准入负面清单</w:t>
                  </w: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南京市《市政府关于印发建立严格的环境准入制度实施方案的通知》（宁政发[2015]37号）</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项目不属于其中规定的新（扩）建燃煤发电、钢铁、水泥、原油加工、制浆造纸、平板玻璃、有色金属冶炼、多晶硅冶炼等和以煤炭为主要原料的高耗能、重污染项目。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《南京市建设项目环境准入暂行规定》（宁政发[2015]251号）</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项目不属于其中禁止类项目，不在环境准入负面清单内。</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《省政府办公厅转发省经济和信息化委省发展改革委江苏省工业和信息产业结构调整限制淘汰目录和能耗限额的通知》（苏政办发〔2015〕118号）</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项目不属于限制及淘汰类。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《市场准入负面清单（2020年版）》（发改经体[2020]1880号）</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项目不属于文中的禁止</w:t>
                  </w:r>
                  <w:r>
                    <w:rPr>
                      <w:rFonts w:hint="eastAsia" w:eastAsia="仿宋_GB2312"/>
                      <w:snapToGrid w:val="0"/>
                      <w:sz w:val="21"/>
                      <w:szCs w:val="21"/>
                    </w:rPr>
                    <w:t>准入类项目。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vMerge w:val="continue"/>
                  <w:vAlign w:val="center"/>
                </w:tcPr>
                <w:p>
                  <w:pPr>
                    <w:pStyle w:val="112"/>
                    <w:kinsoku w:val="0"/>
                    <w:overflowPunct w:val="0"/>
                    <w:autoSpaceDE w:val="0"/>
                    <w:autoSpaceDN w:val="0"/>
                    <w:rPr>
                      <w:rFonts w:eastAsia="仿宋_GB2312"/>
                      <w:snapToGrid w:val="0"/>
                      <w:sz w:val="21"/>
                      <w:szCs w:val="21"/>
                    </w:rPr>
                  </w:pPr>
                </w:p>
              </w:tc>
              <w:tc>
                <w:tcPr>
                  <w:tcW w:w="282" w:type="pct"/>
                  <w:vMerge w:val="continue"/>
                  <w:vAlign w:val="center"/>
                </w:tcPr>
                <w:p>
                  <w:pPr>
                    <w:pStyle w:val="112"/>
                    <w:kinsoku w:val="0"/>
                    <w:overflowPunct w:val="0"/>
                    <w:autoSpaceDE w:val="0"/>
                    <w:autoSpaceDN w:val="0"/>
                    <w:rPr>
                      <w:rFonts w:eastAsia="仿宋_GB2312"/>
                      <w:snapToGrid w:val="0"/>
                      <w:sz w:val="21"/>
                      <w:szCs w:val="21"/>
                    </w:rPr>
                  </w:pPr>
                </w:p>
              </w:tc>
              <w:tc>
                <w:tcPr>
                  <w:tcW w:w="2002" w:type="pct"/>
                  <w:vAlign w:val="center"/>
                </w:tcPr>
                <w:p>
                  <w:pPr>
                    <w:pStyle w:val="112"/>
                    <w:kinsoku w:val="0"/>
                    <w:overflowPunct w:val="0"/>
                    <w:autoSpaceDE w:val="0"/>
                    <w:autoSpaceDN w:val="0"/>
                    <w:rPr>
                      <w:rFonts w:eastAsia="仿宋_GB2312"/>
                      <w:snapToGrid w:val="0"/>
                      <w:sz w:val="21"/>
                      <w:szCs w:val="21"/>
                    </w:rPr>
                  </w:pPr>
                  <w:r>
                    <w:rPr>
                      <w:rFonts w:eastAsia="仿宋_GB2312"/>
                      <w:snapToGrid w:val="0"/>
                      <w:sz w:val="21"/>
                      <w:szCs w:val="21"/>
                    </w:rPr>
                    <w:t>《&lt;长江经济带发展负面清单指南&gt;江苏省实施细则（试行）》（苏长江办发[2019]136号）</w:t>
                  </w:r>
                </w:p>
              </w:tc>
              <w:tc>
                <w:tcPr>
                  <w:tcW w:w="2448" w:type="pct"/>
                  <w:vAlign w:val="center"/>
                </w:tcPr>
                <w:p>
                  <w:pPr>
                    <w:pStyle w:val="112"/>
                    <w:kinsoku w:val="0"/>
                    <w:overflowPunct w:val="0"/>
                    <w:autoSpaceDE w:val="0"/>
                    <w:autoSpaceDN w:val="0"/>
                    <w:jc w:val="left"/>
                    <w:rPr>
                      <w:rFonts w:eastAsia="仿宋_GB2312"/>
                      <w:snapToGrid w:val="0"/>
                      <w:sz w:val="21"/>
                      <w:szCs w:val="21"/>
                    </w:rPr>
                  </w:pPr>
                  <w:r>
                    <w:rPr>
                      <w:rFonts w:eastAsia="仿宋_GB2312"/>
                      <w:snapToGrid w:val="0"/>
                      <w:sz w:val="21"/>
                      <w:szCs w:val="21"/>
                    </w:rPr>
                    <w:t>项目不属于</w:t>
                  </w:r>
                  <w:r>
                    <w:rPr>
                      <w:rFonts w:hint="eastAsia" w:eastAsia="仿宋_GB2312"/>
                      <w:snapToGrid w:val="0"/>
                      <w:sz w:val="21"/>
                      <w:szCs w:val="21"/>
                    </w:rPr>
                    <w:t>文件中禁止建设的项目类型。</w:t>
                  </w:r>
                </w:p>
              </w:tc>
            </w:tr>
            <w:bookmarkEnd w:id="5"/>
          </w:tbl>
          <w:p>
            <w:pPr>
              <w:pStyle w:val="248"/>
              <w:spacing w:line="500" w:lineRule="exact"/>
              <w:rPr>
                <w:rFonts w:eastAsia="仿宋_GB2312"/>
                <w:snapToGrid w:val="0"/>
                <w:color w:val="000000"/>
              </w:rPr>
            </w:pPr>
          </w:p>
          <w:p>
            <w:pPr>
              <w:ind w:firstLine="482"/>
              <w:jc w:val="center"/>
              <w:rPr>
                <w:rFonts w:ascii="Times New Roman" w:hAnsi="Times New Roman" w:eastAsia="仿宋_GB2312"/>
                <w:b/>
                <w:bCs/>
                <w:color w:val="000000"/>
                <w:sz w:val="24"/>
                <w:szCs w:val="20"/>
                <w:lang w:val="zh-CN"/>
              </w:rPr>
            </w:pPr>
            <w:r>
              <w:rPr>
                <w:rFonts w:ascii="Times New Roman" w:hAnsi="Times New Roman" w:eastAsia="仿宋_GB2312"/>
                <w:b/>
                <w:bCs/>
                <w:color w:val="000000"/>
                <w:sz w:val="24"/>
                <w:szCs w:val="20"/>
                <w:lang w:val="zh-CN"/>
              </w:rPr>
              <w:t>表1-5  江苏省生态空间管控区域规划</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022"/>
              <w:gridCol w:w="1026"/>
              <w:gridCol w:w="1755"/>
              <w:gridCol w:w="1024"/>
              <w:gridCol w:w="1022"/>
              <w:gridCol w:w="708"/>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tblHeader/>
                <w:jc w:val="center"/>
              </w:trPr>
              <w:tc>
                <w:tcPr>
                  <w:tcW w:w="815" w:type="pct"/>
                  <w:vMerge w:val="restart"/>
                  <w:vAlign w:val="center"/>
                </w:tcPr>
                <w:p>
                  <w:pPr>
                    <w:wordWrap w:val="0"/>
                    <w:adjustRightInd w:val="0"/>
                    <w:snapToGrid w:val="0"/>
                    <w:jc w:val="center"/>
                    <w:rPr>
                      <w:rFonts w:ascii="Times New Roman" w:hAnsi="Times New Roman" w:eastAsia="仿宋_GB2312"/>
                      <w:b/>
                      <w:snapToGrid w:val="0"/>
                      <w:color w:val="000000"/>
                      <w:sz w:val="18"/>
                      <w:szCs w:val="24"/>
                    </w:rPr>
                  </w:pPr>
                  <w:r>
                    <w:rPr>
                      <w:rFonts w:ascii="Times New Roman" w:hAnsi="Times New Roman" w:eastAsia="仿宋_GB2312"/>
                      <w:b/>
                      <w:snapToGrid w:val="0"/>
                      <w:color w:val="000000"/>
                      <w:sz w:val="18"/>
                      <w:szCs w:val="24"/>
                    </w:rPr>
                    <w:t>生态空间保护区域名称</w:t>
                  </w:r>
                </w:p>
              </w:tc>
              <w:tc>
                <w:tcPr>
                  <w:tcW w:w="580" w:type="pct"/>
                  <w:vMerge w:val="restar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主导生态功能</w:t>
                  </w:r>
                </w:p>
              </w:tc>
              <w:tc>
                <w:tcPr>
                  <w:tcW w:w="1578" w:type="pct"/>
                  <w:gridSpan w:val="2"/>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范围</w:t>
                  </w:r>
                </w:p>
              </w:tc>
              <w:tc>
                <w:tcPr>
                  <w:tcW w:w="1563" w:type="pct"/>
                  <w:gridSpan w:val="3"/>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面积（平方公里）</w:t>
                  </w:r>
                </w:p>
              </w:tc>
              <w:tc>
                <w:tcPr>
                  <w:tcW w:w="464" w:type="pct"/>
                  <w:vMerge w:val="restar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与本项目位置关系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15" w:type="pct"/>
                  <w:vMerge w:val="continue"/>
                  <w:vAlign w:val="center"/>
                </w:tcPr>
                <w:p>
                  <w:pPr>
                    <w:wordWrap w:val="0"/>
                    <w:adjustRightInd w:val="0"/>
                    <w:snapToGrid w:val="0"/>
                    <w:jc w:val="center"/>
                    <w:rPr>
                      <w:rFonts w:ascii="Times New Roman" w:hAnsi="Times New Roman" w:eastAsia="仿宋_GB2312"/>
                      <w:b/>
                      <w:snapToGrid w:val="0"/>
                      <w:color w:val="000000"/>
                      <w:sz w:val="18"/>
                      <w:szCs w:val="24"/>
                    </w:rPr>
                  </w:pPr>
                </w:p>
              </w:tc>
              <w:tc>
                <w:tcPr>
                  <w:tcW w:w="580" w:type="pct"/>
                  <w:vMerge w:val="continue"/>
                  <w:vAlign w:val="center"/>
                </w:tcPr>
                <w:p>
                  <w:pPr>
                    <w:wordWrap w:val="0"/>
                    <w:adjustRightInd w:val="0"/>
                    <w:snapToGrid w:val="0"/>
                    <w:jc w:val="center"/>
                    <w:rPr>
                      <w:rFonts w:ascii="Times New Roman" w:hAnsi="Times New Roman" w:eastAsia="仿宋_GB2312"/>
                      <w:b/>
                      <w:bCs/>
                      <w:snapToGrid w:val="0"/>
                      <w:color w:val="000000"/>
                      <w:sz w:val="18"/>
                      <w:szCs w:val="24"/>
                    </w:rPr>
                  </w:pPr>
                </w:p>
              </w:tc>
              <w:tc>
                <w:tcPr>
                  <w:tcW w:w="582" w:type="pc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国家级生态保护红线范围</w:t>
                  </w:r>
                </w:p>
              </w:tc>
              <w:tc>
                <w:tcPr>
                  <w:tcW w:w="996" w:type="pc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生态空间管控区域范围</w:t>
                  </w:r>
                </w:p>
              </w:tc>
              <w:tc>
                <w:tcPr>
                  <w:tcW w:w="581" w:type="pc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国家级生态保护红线面积</w:t>
                  </w:r>
                </w:p>
              </w:tc>
              <w:tc>
                <w:tcPr>
                  <w:tcW w:w="580" w:type="pc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生态空间管控区域面积</w:t>
                  </w:r>
                </w:p>
              </w:tc>
              <w:tc>
                <w:tcPr>
                  <w:tcW w:w="402" w:type="pct"/>
                  <w:vAlign w:val="center"/>
                </w:tcPr>
                <w:p>
                  <w:pPr>
                    <w:wordWrap w:val="0"/>
                    <w:adjustRightInd w:val="0"/>
                    <w:snapToGrid w:val="0"/>
                    <w:jc w:val="center"/>
                    <w:rPr>
                      <w:rFonts w:ascii="Times New Roman" w:hAnsi="Times New Roman" w:eastAsia="仿宋_GB2312"/>
                      <w:b/>
                      <w:bCs/>
                      <w:snapToGrid w:val="0"/>
                      <w:color w:val="000000"/>
                      <w:sz w:val="18"/>
                      <w:szCs w:val="24"/>
                    </w:rPr>
                  </w:pPr>
                  <w:r>
                    <w:rPr>
                      <w:rFonts w:ascii="Times New Roman" w:hAnsi="Times New Roman" w:eastAsia="仿宋_GB2312"/>
                      <w:b/>
                      <w:bCs/>
                      <w:snapToGrid w:val="0"/>
                      <w:color w:val="000000"/>
                      <w:sz w:val="18"/>
                      <w:szCs w:val="24"/>
                    </w:rPr>
                    <w:t>总面积</w:t>
                  </w:r>
                </w:p>
              </w:tc>
              <w:tc>
                <w:tcPr>
                  <w:tcW w:w="464" w:type="pct"/>
                  <w:vMerge w:val="continue"/>
                  <w:vAlign w:val="center"/>
                </w:tcPr>
                <w:p>
                  <w:pPr>
                    <w:wordWrap w:val="0"/>
                    <w:adjustRightInd w:val="0"/>
                    <w:snapToGrid w:val="0"/>
                    <w:jc w:val="center"/>
                    <w:rPr>
                      <w:rFonts w:ascii="Times New Roman" w:hAnsi="Times New Roman" w:eastAsia="仿宋_GB2312"/>
                      <w:b/>
                      <w:bCs/>
                      <w:snapToGrid w:val="0"/>
                      <w:color w:val="000000"/>
                      <w:sz w:val="18"/>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15"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秦淮河（南京市区）洪水调蓄区</w:t>
                  </w:r>
                </w:p>
              </w:tc>
              <w:tc>
                <w:tcPr>
                  <w:tcW w:w="580"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kern w:val="0"/>
                      <w:sz w:val="18"/>
                      <w:szCs w:val="24"/>
                    </w:rPr>
                    <w:t>洪水调蓄</w:t>
                  </w:r>
                </w:p>
              </w:tc>
              <w:tc>
                <w:tcPr>
                  <w:tcW w:w="582"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w:t>
                  </w:r>
                </w:p>
              </w:tc>
              <w:tc>
                <w:tcPr>
                  <w:tcW w:w="996"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秦淮河水域范围（包括秦淮新河、内秦淮河）</w:t>
                  </w:r>
                </w:p>
              </w:tc>
              <w:tc>
                <w:tcPr>
                  <w:tcW w:w="581"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w:t>
                  </w:r>
                </w:p>
              </w:tc>
              <w:tc>
                <w:tcPr>
                  <w:tcW w:w="580"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3.43</w:t>
                  </w:r>
                </w:p>
              </w:tc>
              <w:tc>
                <w:tcPr>
                  <w:tcW w:w="402"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3.43</w:t>
                  </w:r>
                </w:p>
              </w:tc>
              <w:tc>
                <w:tcPr>
                  <w:tcW w:w="464" w:type="pct"/>
                  <w:vAlign w:val="center"/>
                </w:tcPr>
                <w:p>
                  <w:pPr>
                    <w:wordWrap w:val="0"/>
                    <w:adjustRightInd w:val="0"/>
                    <w:snapToGrid w:val="0"/>
                    <w:jc w:val="center"/>
                    <w:rPr>
                      <w:rFonts w:ascii="Times New Roman" w:hAnsi="Times New Roman" w:eastAsia="仿宋_GB2312"/>
                      <w:snapToGrid w:val="0"/>
                      <w:color w:val="000000"/>
                      <w:sz w:val="18"/>
                      <w:szCs w:val="24"/>
                    </w:rPr>
                  </w:pPr>
                  <w:r>
                    <w:rPr>
                      <w:rFonts w:ascii="Times New Roman" w:hAnsi="Times New Roman" w:eastAsia="仿宋_GB2312"/>
                      <w:snapToGrid w:val="0"/>
                      <w:color w:val="000000"/>
                      <w:sz w:val="18"/>
                      <w:szCs w:val="24"/>
                    </w:rPr>
                    <w:t>东北侧730m</w:t>
                  </w:r>
                </w:p>
              </w:tc>
            </w:tr>
          </w:tbl>
          <w:p>
            <w:pPr>
              <w:pStyle w:val="82"/>
              <w:spacing w:line="500" w:lineRule="exact"/>
              <w:rPr>
                <w:rFonts w:eastAsia="仿宋_GB2312"/>
                <w:szCs w:val="24"/>
              </w:rPr>
            </w:pPr>
            <w:r>
              <w:rPr>
                <w:rFonts w:hint="eastAsia" w:eastAsia="仿宋_GB2312"/>
                <w:szCs w:val="24"/>
              </w:rPr>
              <w:t>通过初步分析判定，本项目符合国家和地方产业政策，符合《国务院关于印发打赢蓝天保卫战三年行动计划的通知》、《省政府关于印发打赢蓝天保卫战三年行动计划实施方案的通知》、《“两减六治三提升”专项行动方案》、《江苏省“两减六治三提升”专项行动实施方案》等环保政策要求，符合相关城市总体规划、用地规划要求，符合“三线一单”的要求。</w:t>
            </w:r>
          </w:p>
          <w:p>
            <w:pPr>
              <w:autoSpaceDE w:val="0"/>
              <w:autoSpaceDN w:val="0"/>
              <w:adjustRightInd w:val="0"/>
              <w:snapToGrid w:val="0"/>
              <w:spacing w:line="500" w:lineRule="exact"/>
              <w:rPr>
                <w:rFonts w:ascii="Times New Roman" w:hAnsi="Times New Roman" w:eastAsia="仿宋_GB2312"/>
                <w:b/>
                <w:bCs/>
                <w:color w:val="000000"/>
                <w:kern w:val="0"/>
                <w:sz w:val="24"/>
                <w:szCs w:val="24"/>
              </w:rPr>
            </w:pPr>
            <w:r>
              <w:rPr>
                <w:rFonts w:ascii="Times New Roman" w:hAnsi="Times New Roman" w:eastAsia="仿宋_GB2312"/>
                <w:b/>
                <w:bCs/>
                <w:color w:val="000000"/>
                <w:kern w:val="0"/>
                <w:sz w:val="24"/>
                <w:szCs w:val="24"/>
              </w:rPr>
              <w:t>4、项目平面布置情况</w:t>
            </w:r>
          </w:p>
          <w:p>
            <w:pPr>
              <w:pStyle w:val="62"/>
              <w:spacing w:line="500" w:lineRule="exact"/>
              <w:ind w:firstLine="480"/>
              <w:rPr>
                <w:rFonts w:eastAsia="仿宋_GB2312"/>
                <w:kern w:val="0"/>
                <w:szCs w:val="24"/>
              </w:rPr>
            </w:pPr>
            <w:r>
              <w:rPr>
                <w:rFonts w:eastAsia="仿宋_GB2312"/>
                <w:kern w:val="0"/>
                <w:szCs w:val="24"/>
              </w:rPr>
              <w:t>本项目位于南京市鼓楼区凤凰西街241号北楼，依托原有大楼</w:t>
            </w:r>
            <w:r>
              <w:rPr>
                <w:rFonts w:hint="eastAsia" w:eastAsia="仿宋_GB2312"/>
                <w:kern w:val="0"/>
                <w:szCs w:val="24"/>
              </w:rPr>
              <w:t>进行内部装修</w:t>
            </w:r>
            <w:r>
              <w:rPr>
                <w:rFonts w:eastAsia="仿宋_GB2312"/>
                <w:kern w:val="0"/>
                <w:szCs w:val="24"/>
              </w:rPr>
              <w:t>，</w:t>
            </w:r>
            <w:r>
              <w:rPr>
                <w:rFonts w:hint="eastAsia" w:eastAsia="仿宋_GB2312"/>
                <w:kern w:val="0"/>
                <w:szCs w:val="24"/>
              </w:rPr>
              <w:t>项目</w:t>
            </w:r>
            <w:r>
              <w:rPr>
                <w:rFonts w:eastAsia="仿宋_GB2312"/>
                <w:kern w:val="0"/>
                <w:szCs w:val="24"/>
              </w:rPr>
              <w:t>面积约3997m</w:t>
            </w:r>
            <w:r>
              <w:rPr>
                <w:rFonts w:eastAsia="仿宋_GB2312"/>
                <w:kern w:val="0"/>
                <w:szCs w:val="24"/>
                <w:vertAlign w:val="superscript"/>
              </w:rPr>
              <w:t>2</w:t>
            </w:r>
            <w:r>
              <w:rPr>
                <w:rFonts w:eastAsia="仿宋_GB2312"/>
                <w:kern w:val="0"/>
                <w:szCs w:val="24"/>
              </w:rPr>
              <w:t>。建设内容主要有土壤实验室、大气实验室、水处理实验室、科研通用实验室、常规实验室及配套的前处理室、试剂仓库、仪器室、留样室、纯水间、气源间、办公室等功能。</w:t>
            </w:r>
            <w:r>
              <w:rPr>
                <w:rFonts w:eastAsia="仿宋_GB2312"/>
                <w:szCs w:val="24"/>
              </w:rPr>
              <w:t>具体平面布置情况见附图4</w:t>
            </w:r>
            <w:r>
              <w:rPr>
                <w:rFonts w:hint="eastAsia" w:eastAsia="仿宋_GB2312"/>
                <w:szCs w:val="24"/>
              </w:rPr>
              <w:t>-</w:t>
            </w:r>
            <w:r>
              <w:rPr>
                <w:rFonts w:eastAsia="仿宋_GB2312"/>
                <w:szCs w:val="24"/>
              </w:rPr>
              <w:t>1</w:t>
            </w:r>
            <w:r>
              <w:rPr>
                <w:rFonts w:hint="eastAsia" w:eastAsia="仿宋_GB2312"/>
                <w:szCs w:val="24"/>
              </w:rPr>
              <w:t>~附图4-</w:t>
            </w:r>
            <w:r>
              <w:rPr>
                <w:rFonts w:eastAsia="仿宋_GB2312"/>
                <w:szCs w:val="24"/>
              </w:rPr>
              <w:t>3。</w:t>
            </w:r>
          </w:p>
          <w:p>
            <w:pPr>
              <w:autoSpaceDE w:val="0"/>
              <w:autoSpaceDN w:val="0"/>
              <w:adjustRightInd w:val="0"/>
              <w:snapToGrid w:val="0"/>
              <w:spacing w:line="500" w:lineRule="exact"/>
              <w:rPr>
                <w:rFonts w:ascii="Times New Roman" w:hAnsi="Times New Roman" w:eastAsia="仿宋_GB2312"/>
                <w:b/>
                <w:bCs/>
                <w:color w:val="000000"/>
                <w:kern w:val="0"/>
                <w:sz w:val="24"/>
                <w:szCs w:val="24"/>
              </w:rPr>
            </w:pPr>
            <w:r>
              <w:rPr>
                <w:rFonts w:ascii="Times New Roman" w:hAnsi="Times New Roman" w:eastAsia="仿宋_GB2312"/>
                <w:b/>
                <w:bCs/>
                <w:color w:val="000000"/>
                <w:kern w:val="0"/>
                <w:sz w:val="24"/>
                <w:szCs w:val="24"/>
              </w:rPr>
              <w:t>5、建设内容及规模</w:t>
            </w:r>
          </w:p>
          <w:p>
            <w:pPr>
              <w:autoSpaceDE w:val="0"/>
              <w:autoSpaceDN w:val="0"/>
              <w:adjustRightInd w:val="0"/>
              <w:snapToGrid w:val="0"/>
              <w:spacing w:line="500" w:lineRule="exact"/>
              <w:ind w:firstLine="480" w:firstLineChars="200"/>
              <w:rPr>
                <w:rFonts w:ascii="Times New Roman" w:hAnsi="Times New Roman" w:eastAsia="仿宋_GB2312"/>
                <w:bCs/>
                <w:color w:val="000000"/>
                <w:kern w:val="0"/>
                <w:sz w:val="24"/>
                <w:szCs w:val="24"/>
              </w:rPr>
            </w:pPr>
            <w:r>
              <w:rPr>
                <w:rFonts w:ascii="Times New Roman" w:hAnsi="Times New Roman" w:eastAsia="仿宋_GB2312"/>
                <w:bCs/>
                <w:color w:val="000000"/>
                <w:kern w:val="0"/>
                <w:sz w:val="24"/>
                <w:szCs w:val="24"/>
              </w:rPr>
              <w:t>项目具体建设内容见表1-5。</w:t>
            </w:r>
          </w:p>
          <w:p>
            <w:pPr>
              <w:pStyle w:val="78"/>
              <w:spacing w:before="0" w:after="0" w:line="500" w:lineRule="exact"/>
              <w:rPr>
                <w:rFonts w:eastAsia="仿宋_GB2312"/>
                <w:b/>
                <w:bCs/>
                <w:color w:val="000000"/>
                <w:szCs w:val="24"/>
              </w:rPr>
            </w:pPr>
            <w:r>
              <w:rPr>
                <w:rFonts w:eastAsia="仿宋_GB2312"/>
                <w:b/>
                <w:bCs/>
                <w:color w:val="000000"/>
                <w:szCs w:val="24"/>
              </w:rPr>
              <w:t>表1-5 建设项目组成一览表</w:t>
            </w:r>
          </w:p>
          <w:tbl>
            <w:tblPr>
              <w:tblStyle w:val="38"/>
              <w:tblW w:w="8638"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41"/>
              <w:gridCol w:w="852"/>
              <w:gridCol w:w="180"/>
              <w:gridCol w:w="2553"/>
              <w:gridCol w:w="1976"/>
              <w:gridCol w:w="2236"/>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81" w:hRule="atLeast"/>
              </w:trPr>
              <w:tc>
                <w:tcPr>
                  <w:tcW w:w="487" w:type="pct"/>
                  <w:tcBorders>
                    <w:top w:val="single" w:color="auto" w:sz="18" w:space="0"/>
                  </w:tcBorders>
                  <w:vAlign w:val="center"/>
                </w:tcPr>
                <w:p>
                  <w:pPr>
                    <w:pStyle w:val="78"/>
                    <w:spacing w:before="0" w:after="0"/>
                    <w:rPr>
                      <w:rFonts w:eastAsia="仿宋_GB2312"/>
                      <w:b/>
                      <w:bCs/>
                      <w:color w:val="000000"/>
                      <w:sz w:val="21"/>
                    </w:rPr>
                  </w:pPr>
                  <w:r>
                    <w:rPr>
                      <w:rFonts w:eastAsia="仿宋_GB2312"/>
                      <w:b/>
                      <w:bCs/>
                      <w:color w:val="000000"/>
                      <w:sz w:val="21"/>
                    </w:rPr>
                    <w:t>类别</w:t>
                  </w:r>
                </w:p>
              </w:tc>
              <w:tc>
                <w:tcPr>
                  <w:tcW w:w="2075" w:type="pct"/>
                  <w:gridSpan w:val="3"/>
                  <w:tcBorders>
                    <w:top w:val="single" w:color="auto" w:sz="18" w:space="0"/>
                  </w:tcBorders>
                  <w:vAlign w:val="center"/>
                </w:tcPr>
                <w:p>
                  <w:pPr>
                    <w:pStyle w:val="78"/>
                    <w:spacing w:before="0" w:after="0"/>
                    <w:rPr>
                      <w:rFonts w:eastAsia="仿宋_GB2312"/>
                      <w:b/>
                      <w:bCs/>
                      <w:color w:val="000000"/>
                      <w:sz w:val="21"/>
                    </w:rPr>
                  </w:pPr>
                  <w:r>
                    <w:rPr>
                      <w:rFonts w:eastAsia="仿宋_GB2312"/>
                      <w:b/>
                      <w:bCs/>
                      <w:color w:val="000000"/>
                      <w:sz w:val="21"/>
                    </w:rPr>
                    <w:t>建设名称</w:t>
                  </w:r>
                </w:p>
              </w:tc>
              <w:tc>
                <w:tcPr>
                  <w:tcW w:w="1144" w:type="pct"/>
                  <w:tcBorders>
                    <w:top w:val="single" w:color="auto" w:sz="18" w:space="0"/>
                  </w:tcBorders>
                  <w:vAlign w:val="center"/>
                </w:tcPr>
                <w:p>
                  <w:pPr>
                    <w:pStyle w:val="78"/>
                    <w:spacing w:before="0" w:after="0"/>
                    <w:rPr>
                      <w:rFonts w:eastAsia="仿宋_GB2312"/>
                      <w:b/>
                      <w:bCs/>
                      <w:color w:val="000000"/>
                      <w:sz w:val="21"/>
                    </w:rPr>
                  </w:pPr>
                  <w:r>
                    <w:rPr>
                      <w:rFonts w:eastAsia="仿宋_GB2312"/>
                      <w:b/>
                      <w:bCs/>
                      <w:color w:val="000000"/>
                      <w:sz w:val="21"/>
                    </w:rPr>
                    <w:t>设计规模</w:t>
                  </w:r>
                </w:p>
              </w:tc>
              <w:tc>
                <w:tcPr>
                  <w:tcW w:w="1294" w:type="pct"/>
                  <w:tcBorders>
                    <w:top w:val="single" w:color="auto" w:sz="18" w:space="0"/>
                  </w:tcBorders>
                  <w:vAlign w:val="center"/>
                </w:tcPr>
                <w:p>
                  <w:pPr>
                    <w:pStyle w:val="78"/>
                    <w:spacing w:before="0" w:after="0"/>
                    <w:rPr>
                      <w:rFonts w:eastAsia="仿宋_GB2312"/>
                      <w:b/>
                      <w:bCs/>
                      <w:color w:val="000000"/>
                      <w:sz w:val="21"/>
                    </w:rPr>
                  </w:pPr>
                  <w:r>
                    <w:rPr>
                      <w:rFonts w:eastAsia="仿宋_GB2312"/>
                      <w:b/>
                      <w:bCs/>
                      <w:color w:val="000000"/>
                      <w:sz w:val="21"/>
                    </w:rPr>
                    <w:t>备注</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52" w:hRule="atLeast"/>
              </w:trPr>
              <w:tc>
                <w:tcPr>
                  <w:tcW w:w="487" w:type="pct"/>
                  <w:vMerge w:val="restart"/>
                  <w:vAlign w:val="center"/>
                </w:tcPr>
                <w:p>
                  <w:pPr>
                    <w:pStyle w:val="92"/>
                    <w:rPr>
                      <w:rFonts w:eastAsia="仿宋_GB2312"/>
                    </w:rPr>
                  </w:pPr>
                  <w:r>
                    <w:rPr>
                      <w:rFonts w:eastAsia="仿宋_GB2312"/>
                    </w:rPr>
                    <w:t>主体工程</w:t>
                  </w:r>
                </w:p>
              </w:tc>
              <w:tc>
                <w:tcPr>
                  <w:tcW w:w="597" w:type="pct"/>
                  <w:gridSpan w:val="2"/>
                  <w:vAlign w:val="center"/>
                </w:tcPr>
                <w:p>
                  <w:pPr>
                    <w:pStyle w:val="92"/>
                    <w:rPr>
                      <w:rFonts w:eastAsia="仿宋_GB2312"/>
                    </w:rPr>
                  </w:pPr>
                  <w:r>
                    <w:rPr>
                      <w:rFonts w:hint="eastAsia" w:eastAsia="仿宋_GB2312"/>
                    </w:rPr>
                    <w:t>1层</w:t>
                  </w:r>
                </w:p>
              </w:tc>
              <w:tc>
                <w:tcPr>
                  <w:tcW w:w="1478" w:type="pct"/>
                  <w:vAlign w:val="center"/>
                </w:tcPr>
                <w:p>
                  <w:pPr>
                    <w:pStyle w:val="92"/>
                    <w:rPr>
                      <w:rFonts w:eastAsia="仿宋_GB2312"/>
                    </w:rPr>
                  </w:pPr>
                  <w:r>
                    <w:rPr>
                      <w:rFonts w:hint="eastAsia" w:eastAsia="仿宋_GB2312"/>
                    </w:rPr>
                    <w:t>化学品仓库等</w:t>
                  </w:r>
                </w:p>
              </w:tc>
              <w:tc>
                <w:tcPr>
                  <w:tcW w:w="1144" w:type="pct"/>
                  <w:vMerge w:val="restart"/>
                  <w:vAlign w:val="center"/>
                </w:tcPr>
                <w:p>
                  <w:pPr>
                    <w:pStyle w:val="92"/>
                    <w:rPr>
                      <w:rFonts w:eastAsia="仿宋_GB2312"/>
                    </w:rPr>
                  </w:pPr>
                  <w:r>
                    <w:rPr>
                      <w:rFonts w:eastAsia="仿宋_GB2312"/>
                    </w:rPr>
                    <w:t>建筑面积约3997m</w:t>
                  </w:r>
                  <w:r>
                    <w:rPr>
                      <w:rFonts w:eastAsia="仿宋_GB2312"/>
                      <w:vertAlign w:val="superscript"/>
                    </w:rPr>
                    <w:t>2</w:t>
                  </w:r>
                </w:p>
              </w:tc>
              <w:tc>
                <w:tcPr>
                  <w:tcW w:w="1294" w:type="pct"/>
                  <w:vMerge w:val="restart"/>
                  <w:vAlign w:val="center"/>
                </w:tcPr>
                <w:p>
                  <w:pPr>
                    <w:tabs>
                      <w:tab w:val="center" w:pos="347"/>
                      <w:tab w:val="left" w:pos="530"/>
                    </w:tabs>
                    <w:jc w:val="center"/>
                    <w:rPr>
                      <w:rFonts w:ascii="Times New Roman" w:hAnsi="Times New Roman" w:eastAsia="仿宋_GB2312"/>
                      <w:color w:val="000000"/>
                      <w:szCs w:val="21"/>
                    </w:rPr>
                  </w:pPr>
                  <w:r>
                    <w:rPr>
                      <w:rFonts w:ascii="Times New Roman" w:hAnsi="Times New Roman" w:eastAsia="仿宋_GB2312"/>
                      <w:color w:val="000000"/>
                      <w:szCs w:val="21"/>
                    </w:rPr>
                    <w:t>利用凤凰西街241号现有楼房改造，共6层</w:t>
                  </w:r>
                  <w:r>
                    <w:rPr>
                      <w:rFonts w:hint="eastAsia" w:ascii="Times New Roman" w:hAnsi="Times New Roman" w:eastAsia="仿宋_GB2312"/>
                      <w:color w:val="000000"/>
                      <w:szCs w:val="21"/>
                    </w:rPr>
                    <w:t>，本次装修工程范围是1-</w:t>
                  </w:r>
                  <w:r>
                    <w:rPr>
                      <w:rFonts w:ascii="Times New Roman" w:hAnsi="Times New Roman" w:eastAsia="仿宋_GB2312"/>
                      <w:color w:val="000000"/>
                      <w:szCs w:val="21"/>
                    </w:rPr>
                    <w:t>5</w:t>
                  </w:r>
                  <w:r>
                    <w:rPr>
                      <w:rFonts w:hint="eastAsia" w:ascii="Times New Roman" w:hAnsi="Times New Roman" w:eastAsia="仿宋_GB2312"/>
                      <w:color w:val="000000"/>
                      <w:szCs w:val="21"/>
                    </w:rPr>
                    <w:t>层</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597" w:type="pct"/>
                  <w:gridSpan w:val="2"/>
                  <w:vAlign w:val="center"/>
                </w:tcPr>
                <w:p>
                  <w:pPr>
                    <w:pStyle w:val="92"/>
                    <w:rPr>
                      <w:rFonts w:eastAsia="仿宋_GB2312"/>
                    </w:rPr>
                  </w:pPr>
                  <w:r>
                    <w:rPr>
                      <w:rFonts w:hint="eastAsia" w:eastAsia="仿宋_GB2312"/>
                    </w:rPr>
                    <w:t>2层</w:t>
                  </w:r>
                </w:p>
              </w:tc>
              <w:tc>
                <w:tcPr>
                  <w:tcW w:w="1478" w:type="pct"/>
                  <w:vAlign w:val="center"/>
                </w:tcPr>
                <w:p>
                  <w:pPr>
                    <w:pStyle w:val="92"/>
                    <w:rPr>
                      <w:rFonts w:eastAsia="仿宋_GB2312"/>
                    </w:rPr>
                  </w:pPr>
                  <w:r>
                    <w:rPr>
                      <w:rFonts w:hint="eastAsia" w:eastAsia="仿宋_GB2312"/>
                    </w:rPr>
                    <w:t>科研实验室</w:t>
                  </w:r>
                </w:p>
              </w:tc>
              <w:tc>
                <w:tcPr>
                  <w:tcW w:w="1144" w:type="pct"/>
                  <w:vMerge w:val="continue"/>
                  <w:vAlign w:val="center"/>
                </w:tcPr>
                <w:p>
                  <w:pPr>
                    <w:pStyle w:val="92"/>
                    <w:rPr>
                      <w:rFonts w:eastAsia="仿宋_GB2312"/>
                    </w:rPr>
                  </w:pPr>
                </w:p>
              </w:tc>
              <w:tc>
                <w:tcPr>
                  <w:tcW w:w="1294" w:type="pct"/>
                  <w:vMerge w:val="continue"/>
                  <w:vAlign w:val="center"/>
                </w:tcPr>
                <w:p>
                  <w:pPr>
                    <w:tabs>
                      <w:tab w:val="center" w:pos="347"/>
                      <w:tab w:val="left" w:pos="530"/>
                    </w:tabs>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597" w:type="pct"/>
                  <w:gridSpan w:val="2"/>
                  <w:vAlign w:val="center"/>
                </w:tcPr>
                <w:p>
                  <w:pPr>
                    <w:pStyle w:val="92"/>
                    <w:rPr>
                      <w:rFonts w:eastAsia="仿宋_GB2312"/>
                    </w:rPr>
                  </w:pPr>
                  <w:r>
                    <w:rPr>
                      <w:rFonts w:hint="eastAsia" w:eastAsia="仿宋_GB2312"/>
                    </w:rPr>
                    <w:t>3层</w:t>
                  </w:r>
                </w:p>
              </w:tc>
              <w:tc>
                <w:tcPr>
                  <w:tcW w:w="1478" w:type="pct"/>
                  <w:vMerge w:val="restart"/>
                  <w:vAlign w:val="center"/>
                </w:tcPr>
                <w:p>
                  <w:pPr>
                    <w:pStyle w:val="92"/>
                    <w:rPr>
                      <w:rFonts w:eastAsia="仿宋_GB2312"/>
                    </w:rPr>
                  </w:pPr>
                  <w:r>
                    <w:rPr>
                      <w:rFonts w:hint="eastAsia" w:eastAsia="仿宋_GB2312"/>
                    </w:rPr>
                    <w:t>化学检测实验室</w:t>
                  </w:r>
                </w:p>
              </w:tc>
              <w:tc>
                <w:tcPr>
                  <w:tcW w:w="1144" w:type="pct"/>
                  <w:vMerge w:val="continue"/>
                  <w:vAlign w:val="center"/>
                </w:tcPr>
                <w:p>
                  <w:pPr>
                    <w:pStyle w:val="92"/>
                    <w:rPr>
                      <w:rFonts w:eastAsia="仿宋_GB2312"/>
                    </w:rPr>
                  </w:pPr>
                </w:p>
              </w:tc>
              <w:tc>
                <w:tcPr>
                  <w:tcW w:w="1294" w:type="pct"/>
                  <w:vMerge w:val="continue"/>
                  <w:vAlign w:val="center"/>
                </w:tcPr>
                <w:p>
                  <w:pPr>
                    <w:tabs>
                      <w:tab w:val="center" w:pos="347"/>
                      <w:tab w:val="left" w:pos="530"/>
                    </w:tabs>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cantSplit/>
                <w:trHeight w:val="13" w:hRule="atLeast"/>
              </w:trPr>
              <w:tc>
                <w:tcPr>
                  <w:tcW w:w="487" w:type="pct"/>
                  <w:vMerge w:val="continue"/>
                  <w:vAlign w:val="center"/>
                </w:tcPr>
                <w:p>
                  <w:pPr>
                    <w:pStyle w:val="92"/>
                    <w:rPr>
                      <w:rFonts w:eastAsia="仿宋_GB2312"/>
                    </w:rPr>
                  </w:pPr>
                </w:p>
              </w:tc>
              <w:tc>
                <w:tcPr>
                  <w:tcW w:w="597" w:type="pct"/>
                  <w:gridSpan w:val="2"/>
                  <w:vAlign w:val="center"/>
                </w:tcPr>
                <w:p>
                  <w:pPr>
                    <w:pStyle w:val="92"/>
                    <w:rPr>
                      <w:rFonts w:eastAsia="仿宋_GB2312"/>
                    </w:rPr>
                  </w:pPr>
                  <w:r>
                    <w:rPr>
                      <w:rFonts w:hint="eastAsia" w:eastAsia="仿宋_GB2312"/>
                    </w:rPr>
                    <w:t>4层</w:t>
                  </w:r>
                </w:p>
              </w:tc>
              <w:tc>
                <w:tcPr>
                  <w:tcW w:w="1478" w:type="pct"/>
                  <w:vMerge w:val="continue"/>
                  <w:vAlign w:val="center"/>
                </w:tcPr>
                <w:p>
                  <w:pPr>
                    <w:pStyle w:val="92"/>
                    <w:rPr>
                      <w:rFonts w:eastAsia="仿宋_GB2312"/>
                    </w:rPr>
                  </w:pPr>
                </w:p>
              </w:tc>
              <w:tc>
                <w:tcPr>
                  <w:tcW w:w="1144" w:type="pct"/>
                  <w:vMerge w:val="continue"/>
                  <w:vAlign w:val="center"/>
                </w:tcPr>
                <w:p>
                  <w:pPr>
                    <w:pStyle w:val="92"/>
                    <w:rPr>
                      <w:rFonts w:eastAsia="仿宋_GB2312"/>
                    </w:rPr>
                  </w:pPr>
                </w:p>
              </w:tc>
              <w:tc>
                <w:tcPr>
                  <w:tcW w:w="1294" w:type="pct"/>
                  <w:vMerge w:val="continue"/>
                  <w:vAlign w:val="center"/>
                </w:tcPr>
                <w:p>
                  <w:pPr>
                    <w:tabs>
                      <w:tab w:val="center" w:pos="347"/>
                      <w:tab w:val="left" w:pos="530"/>
                    </w:tabs>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597" w:type="pct"/>
                  <w:gridSpan w:val="2"/>
                  <w:vAlign w:val="center"/>
                </w:tcPr>
                <w:p>
                  <w:pPr>
                    <w:pStyle w:val="92"/>
                    <w:rPr>
                      <w:rFonts w:eastAsia="仿宋_GB2312"/>
                    </w:rPr>
                  </w:pPr>
                  <w:r>
                    <w:rPr>
                      <w:rFonts w:hint="eastAsia" w:eastAsia="仿宋_GB2312"/>
                    </w:rPr>
                    <w:t>5层</w:t>
                  </w:r>
                </w:p>
              </w:tc>
              <w:tc>
                <w:tcPr>
                  <w:tcW w:w="1478" w:type="pct"/>
                  <w:vAlign w:val="center"/>
                </w:tcPr>
                <w:p>
                  <w:pPr>
                    <w:pStyle w:val="92"/>
                    <w:rPr>
                      <w:rFonts w:eastAsia="仿宋_GB2312"/>
                    </w:rPr>
                  </w:pPr>
                  <w:r>
                    <w:rPr>
                      <w:rFonts w:hint="eastAsia" w:eastAsia="仿宋_GB2312"/>
                    </w:rPr>
                    <w:t>科研实验室</w:t>
                  </w:r>
                </w:p>
              </w:tc>
              <w:tc>
                <w:tcPr>
                  <w:tcW w:w="1144" w:type="pct"/>
                  <w:vMerge w:val="continue"/>
                  <w:vAlign w:val="center"/>
                </w:tcPr>
                <w:p>
                  <w:pPr>
                    <w:pStyle w:val="92"/>
                    <w:rPr>
                      <w:rFonts w:eastAsia="仿宋_GB2312"/>
                    </w:rPr>
                  </w:pPr>
                </w:p>
              </w:tc>
              <w:tc>
                <w:tcPr>
                  <w:tcW w:w="1294" w:type="pct"/>
                  <w:vMerge w:val="continue"/>
                  <w:vAlign w:val="center"/>
                </w:tcPr>
                <w:p>
                  <w:pPr>
                    <w:tabs>
                      <w:tab w:val="center" w:pos="347"/>
                      <w:tab w:val="left" w:pos="530"/>
                    </w:tabs>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restart"/>
                  <w:vAlign w:val="center"/>
                </w:tcPr>
                <w:p>
                  <w:pPr>
                    <w:pStyle w:val="92"/>
                    <w:rPr>
                      <w:rFonts w:eastAsia="仿宋_GB2312"/>
                    </w:rPr>
                  </w:pPr>
                  <w:r>
                    <w:rPr>
                      <w:rFonts w:eastAsia="仿宋_GB2312"/>
                    </w:rPr>
                    <w:t>公</w:t>
                  </w:r>
                  <w:r>
                    <w:rPr>
                      <w:rFonts w:hint="eastAsia" w:eastAsia="仿宋_GB2312"/>
                    </w:rPr>
                    <w:t>辅</w:t>
                  </w:r>
                  <w:r>
                    <w:rPr>
                      <w:rFonts w:eastAsia="仿宋_GB2312"/>
                    </w:rPr>
                    <w:t>工程</w:t>
                  </w:r>
                </w:p>
              </w:tc>
              <w:tc>
                <w:tcPr>
                  <w:tcW w:w="2075" w:type="pct"/>
                  <w:gridSpan w:val="3"/>
                  <w:vAlign w:val="center"/>
                </w:tcPr>
                <w:p>
                  <w:pPr>
                    <w:pStyle w:val="92"/>
                    <w:rPr>
                      <w:rFonts w:eastAsia="仿宋_GB2312"/>
                    </w:rPr>
                  </w:pPr>
                  <w:r>
                    <w:rPr>
                      <w:rFonts w:eastAsia="仿宋_GB2312"/>
                    </w:rPr>
                    <w:t>给水</w:t>
                  </w:r>
                </w:p>
              </w:tc>
              <w:tc>
                <w:tcPr>
                  <w:tcW w:w="1144" w:type="pct"/>
                  <w:vAlign w:val="center"/>
                </w:tcPr>
                <w:p>
                  <w:pPr>
                    <w:pStyle w:val="92"/>
                    <w:rPr>
                      <w:rFonts w:eastAsia="仿宋_GB2312"/>
                    </w:rPr>
                  </w:pPr>
                  <w:r>
                    <w:rPr>
                      <w:rFonts w:eastAsia="仿宋_GB2312"/>
                    </w:rPr>
                    <w:t>364.212t/a</w:t>
                  </w:r>
                </w:p>
              </w:tc>
              <w:tc>
                <w:tcPr>
                  <w:tcW w:w="1294" w:type="pct"/>
                  <w:vMerge w:val="restart"/>
                  <w:vAlign w:val="center"/>
                </w:tcPr>
                <w:p>
                  <w:pPr>
                    <w:pStyle w:val="92"/>
                    <w:rPr>
                      <w:rFonts w:eastAsia="仿宋_GB2312"/>
                    </w:rPr>
                  </w:pPr>
                  <w:r>
                    <w:rPr>
                      <w:rFonts w:eastAsia="仿宋_GB2312"/>
                    </w:rPr>
                    <w:t>依托所在楼房现有设施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2075" w:type="pct"/>
                  <w:gridSpan w:val="3"/>
                  <w:vAlign w:val="center"/>
                </w:tcPr>
                <w:p>
                  <w:pPr>
                    <w:pStyle w:val="92"/>
                    <w:rPr>
                      <w:rFonts w:eastAsia="仿宋_GB2312"/>
                    </w:rPr>
                  </w:pPr>
                  <w:r>
                    <w:rPr>
                      <w:rFonts w:eastAsia="仿宋_GB2312"/>
                    </w:rPr>
                    <w:t>排水</w:t>
                  </w:r>
                </w:p>
              </w:tc>
              <w:tc>
                <w:tcPr>
                  <w:tcW w:w="1144" w:type="pct"/>
                  <w:vAlign w:val="center"/>
                </w:tcPr>
                <w:p>
                  <w:pPr>
                    <w:pStyle w:val="92"/>
                    <w:rPr>
                      <w:rFonts w:eastAsia="仿宋_GB2312"/>
                    </w:rPr>
                  </w:pPr>
                  <w:r>
                    <w:rPr>
                      <w:rFonts w:eastAsia="仿宋_GB2312"/>
                    </w:rPr>
                    <w:t>282.812t/a</w:t>
                  </w:r>
                </w:p>
              </w:tc>
              <w:tc>
                <w:tcPr>
                  <w:tcW w:w="1294" w:type="pct"/>
                  <w:vMerge w:val="continue"/>
                  <w:vAlign w:val="center"/>
                </w:tcPr>
                <w:p>
                  <w:pPr>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cantSplit/>
                <w:trHeight w:val="13" w:hRule="atLeast"/>
              </w:trPr>
              <w:tc>
                <w:tcPr>
                  <w:tcW w:w="487" w:type="pct"/>
                  <w:vMerge w:val="continue"/>
                  <w:vAlign w:val="center"/>
                </w:tcPr>
                <w:p>
                  <w:pPr>
                    <w:pStyle w:val="92"/>
                    <w:rPr>
                      <w:rFonts w:eastAsia="仿宋_GB2312"/>
                    </w:rPr>
                  </w:pPr>
                </w:p>
              </w:tc>
              <w:tc>
                <w:tcPr>
                  <w:tcW w:w="2075" w:type="pct"/>
                  <w:gridSpan w:val="3"/>
                  <w:vAlign w:val="center"/>
                </w:tcPr>
                <w:p>
                  <w:pPr>
                    <w:pStyle w:val="92"/>
                    <w:rPr>
                      <w:rFonts w:eastAsia="仿宋_GB2312"/>
                    </w:rPr>
                  </w:pPr>
                  <w:r>
                    <w:rPr>
                      <w:rFonts w:eastAsia="仿宋_GB2312"/>
                    </w:rPr>
                    <w:t>供电</w:t>
                  </w:r>
                </w:p>
              </w:tc>
              <w:tc>
                <w:tcPr>
                  <w:tcW w:w="1144" w:type="pct"/>
                  <w:vAlign w:val="center"/>
                </w:tcPr>
                <w:p>
                  <w:pPr>
                    <w:pStyle w:val="92"/>
                    <w:rPr>
                      <w:rFonts w:eastAsia="仿宋_GB2312"/>
                    </w:rPr>
                  </w:pPr>
                  <w:r>
                    <w:rPr>
                      <w:rFonts w:eastAsia="仿宋_GB2312"/>
                    </w:rPr>
                    <w:t>90000kwh/a</w:t>
                  </w:r>
                </w:p>
              </w:tc>
              <w:tc>
                <w:tcPr>
                  <w:tcW w:w="1294" w:type="pct"/>
                  <w:vMerge w:val="continue"/>
                  <w:vAlign w:val="center"/>
                </w:tcPr>
                <w:p>
                  <w:pPr>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2075" w:type="pct"/>
                  <w:gridSpan w:val="3"/>
                  <w:vAlign w:val="center"/>
                </w:tcPr>
                <w:p>
                  <w:pPr>
                    <w:pStyle w:val="92"/>
                    <w:rPr>
                      <w:rFonts w:eastAsia="仿宋_GB2312"/>
                    </w:rPr>
                  </w:pPr>
                  <w:r>
                    <w:rPr>
                      <w:rFonts w:hint="eastAsia" w:eastAsia="仿宋_GB2312"/>
                    </w:rPr>
                    <w:t>循环冷却水系统</w:t>
                  </w:r>
                </w:p>
              </w:tc>
              <w:tc>
                <w:tcPr>
                  <w:tcW w:w="1144" w:type="pct"/>
                  <w:vAlign w:val="center"/>
                </w:tcPr>
                <w:p>
                  <w:pPr>
                    <w:pStyle w:val="92"/>
                    <w:rPr>
                      <w:rFonts w:eastAsia="仿宋_GB2312"/>
                    </w:rPr>
                  </w:pPr>
                  <w:r>
                    <w:rPr>
                      <w:rFonts w:eastAsia="仿宋_GB2312"/>
                    </w:rPr>
                    <w:t>0.006</w:t>
                  </w:r>
                  <w:r>
                    <w:rPr>
                      <w:rFonts w:hint="eastAsia" w:eastAsia="仿宋_GB2312"/>
                    </w:rPr>
                    <w:t>kg</w:t>
                  </w:r>
                  <w:r>
                    <w:rPr>
                      <w:rFonts w:eastAsia="仿宋_GB2312"/>
                    </w:rPr>
                    <w:t>/</w:t>
                  </w:r>
                  <w:r>
                    <w:rPr>
                      <w:rFonts w:hint="eastAsia" w:eastAsia="仿宋_GB2312"/>
                    </w:rPr>
                    <w:t>h</w:t>
                  </w:r>
                </w:p>
              </w:tc>
              <w:tc>
                <w:tcPr>
                  <w:tcW w:w="129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水箱一个月更换一次</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cantSplit/>
                <w:trHeight w:val="13" w:hRule="atLeast"/>
              </w:trPr>
              <w:tc>
                <w:tcPr>
                  <w:tcW w:w="487" w:type="pct"/>
                  <w:vMerge w:val="continue"/>
                  <w:vAlign w:val="center"/>
                </w:tcPr>
                <w:p>
                  <w:pPr>
                    <w:pStyle w:val="92"/>
                    <w:rPr>
                      <w:rFonts w:eastAsia="仿宋_GB2312"/>
                    </w:rPr>
                  </w:pPr>
                </w:p>
              </w:tc>
              <w:tc>
                <w:tcPr>
                  <w:tcW w:w="2075" w:type="pct"/>
                  <w:gridSpan w:val="3"/>
                  <w:vAlign w:val="center"/>
                </w:tcPr>
                <w:p>
                  <w:pPr>
                    <w:pStyle w:val="92"/>
                    <w:rPr>
                      <w:rFonts w:eastAsia="仿宋_GB2312"/>
                    </w:rPr>
                  </w:pPr>
                  <w:r>
                    <w:rPr>
                      <w:rFonts w:hint="eastAsia" w:eastAsia="仿宋_GB2312"/>
                    </w:rPr>
                    <w:t>纯水制备系统</w:t>
                  </w:r>
                </w:p>
              </w:tc>
              <w:tc>
                <w:tcPr>
                  <w:tcW w:w="1144" w:type="pct"/>
                  <w:vAlign w:val="center"/>
                </w:tcPr>
                <w:p>
                  <w:pPr>
                    <w:pStyle w:val="92"/>
                    <w:rPr>
                      <w:rFonts w:eastAsia="仿宋_GB2312"/>
                    </w:rPr>
                  </w:pPr>
                  <w:r>
                    <w:rPr>
                      <w:rFonts w:eastAsia="仿宋_GB2312"/>
                    </w:rPr>
                    <w:t>2</w:t>
                  </w:r>
                  <w:r>
                    <w:rPr>
                      <w:rFonts w:hint="eastAsia" w:eastAsia="仿宋_GB2312"/>
                    </w:rPr>
                    <w:t>台、1</w:t>
                  </w:r>
                  <w:r>
                    <w:rPr>
                      <w:rFonts w:eastAsia="仿宋_GB2312"/>
                    </w:rPr>
                    <w:t>0L/</w:t>
                  </w:r>
                  <w:r>
                    <w:rPr>
                      <w:rFonts w:hint="eastAsia" w:eastAsia="仿宋_GB2312"/>
                    </w:rPr>
                    <w:t>h每台</w:t>
                  </w:r>
                </w:p>
              </w:tc>
              <w:tc>
                <w:tcPr>
                  <w:tcW w:w="129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2075" w:type="pct"/>
                  <w:gridSpan w:val="3"/>
                  <w:vAlign w:val="center"/>
                </w:tcPr>
                <w:p>
                  <w:pPr>
                    <w:pStyle w:val="92"/>
                    <w:rPr>
                      <w:rFonts w:eastAsia="仿宋_GB2312"/>
                    </w:rPr>
                  </w:pPr>
                  <w:r>
                    <w:rPr>
                      <w:rFonts w:hint="eastAsia" w:eastAsia="仿宋_GB2312"/>
                    </w:rPr>
                    <w:t>空调</w:t>
                  </w:r>
                </w:p>
              </w:tc>
              <w:tc>
                <w:tcPr>
                  <w:tcW w:w="1144" w:type="pct"/>
                  <w:vAlign w:val="center"/>
                </w:tcPr>
                <w:p>
                  <w:pPr>
                    <w:pStyle w:val="92"/>
                    <w:rPr>
                      <w:rFonts w:eastAsia="仿宋_GB2312"/>
                    </w:rPr>
                  </w:pPr>
                  <w:r>
                    <w:rPr>
                      <w:rFonts w:hint="eastAsia" w:eastAsia="仿宋_GB2312"/>
                    </w:rPr>
                    <w:t>1</w:t>
                  </w:r>
                  <w:r>
                    <w:rPr>
                      <w:rFonts w:eastAsia="仿宋_GB2312"/>
                    </w:rPr>
                    <w:t>08</w:t>
                  </w:r>
                  <w:r>
                    <w:rPr>
                      <w:rFonts w:hint="eastAsia" w:eastAsia="仿宋_GB2312"/>
                    </w:rPr>
                    <w:t>台</w:t>
                  </w:r>
                </w:p>
              </w:tc>
              <w:tc>
                <w:tcPr>
                  <w:tcW w:w="1294" w:type="pct"/>
                  <w:vAlign w:val="center"/>
                </w:tcPr>
                <w:p>
                  <w:pPr>
                    <w:jc w:val="center"/>
                    <w:rPr>
                      <w:rFonts w:eastAsia="仿宋_GB2312"/>
                      <w:color w:val="000000"/>
                      <w:szCs w:val="21"/>
                    </w:rPr>
                  </w:pPr>
                  <w:r>
                    <w:rPr>
                      <w:rFonts w:hint="eastAsia" w:eastAsia="仿宋_GB2312"/>
                      <w:color w:val="000000"/>
                      <w:szCs w:val="21"/>
                    </w:rPr>
                    <w:t>壁挂式，每个房间外墙挂一台</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restart"/>
                  <w:vAlign w:val="center"/>
                </w:tcPr>
                <w:p>
                  <w:pPr>
                    <w:pStyle w:val="92"/>
                    <w:rPr>
                      <w:rFonts w:eastAsia="仿宋_GB2312"/>
                    </w:rPr>
                  </w:pPr>
                  <w:r>
                    <w:rPr>
                      <w:rFonts w:eastAsia="仿宋_GB2312"/>
                    </w:rPr>
                    <w:t>环保工程</w:t>
                  </w:r>
                </w:p>
              </w:tc>
              <w:tc>
                <w:tcPr>
                  <w:tcW w:w="493" w:type="pct"/>
                  <w:vMerge w:val="restart"/>
                  <w:tcBorders>
                    <w:right w:val="single" w:color="auto" w:sz="2" w:space="0"/>
                  </w:tcBorders>
                  <w:vAlign w:val="center"/>
                </w:tcPr>
                <w:p>
                  <w:pPr>
                    <w:pStyle w:val="92"/>
                    <w:rPr>
                      <w:rFonts w:eastAsia="仿宋_GB2312"/>
                    </w:rPr>
                  </w:pPr>
                  <w:r>
                    <w:rPr>
                      <w:rFonts w:eastAsia="仿宋_GB2312"/>
                    </w:rPr>
                    <w:t>废气</w:t>
                  </w:r>
                </w:p>
              </w:tc>
              <w:tc>
                <w:tcPr>
                  <w:tcW w:w="1582" w:type="pct"/>
                  <w:gridSpan w:val="2"/>
                  <w:tcBorders>
                    <w:left w:val="single" w:color="auto" w:sz="2" w:space="0"/>
                  </w:tcBorders>
                  <w:vAlign w:val="center"/>
                </w:tcPr>
                <w:p>
                  <w:pPr>
                    <w:pStyle w:val="92"/>
                    <w:rPr>
                      <w:rFonts w:eastAsia="仿宋_GB2312"/>
                    </w:rPr>
                  </w:pPr>
                  <w:r>
                    <w:rPr>
                      <w:rFonts w:eastAsia="仿宋_GB2312"/>
                    </w:rPr>
                    <w:t>通风橱</w:t>
                  </w:r>
                </w:p>
              </w:tc>
              <w:tc>
                <w:tcPr>
                  <w:tcW w:w="1144" w:type="pct"/>
                  <w:vAlign w:val="center"/>
                </w:tcPr>
                <w:p>
                  <w:pPr>
                    <w:pStyle w:val="92"/>
                    <w:rPr>
                      <w:rFonts w:eastAsia="仿宋_GB2312"/>
                    </w:rPr>
                  </w:pPr>
                  <w:r>
                    <w:rPr>
                      <w:rFonts w:eastAsia="仿宋_GB2312"/>
                    </w:rPr>
                    <w:t>20个</w:t>
                  </w:r>
                </w:p>
              </w:tc>
              <w:tc>
                <w:tcPr>
                  <w:tcW w:w="1294" w:type="pct"/>
                  <w:vMerge w:val="restar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新建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493" w:type="pct"/>
                  <w:vMerge w:val="continue"/>
                  <w:tcBorders>
                    <w:right w:val="single" w:color="auto" w:sz="2" w:space="0"/>
                  </w:tcBorders>
                  <w:vAlign w:val="center"/>
                </w:tcPr>
                <w:p>
                  <w:pPr>
                    <w:pStyle w:val="92"/>
                    <w:rPr>
                      <w:rFonts w:eastAsia="仿宋_GB2312"/>
                    </w:rPr>
                  </w:pPr>
                </w:p>
              </w:tc>
              <w:tc>
                <w:tcPr>
                  <w:tcW w:w="1582" w:type="pct"/>
                  <w:gridSpan w:val="2"/>
                  <w:tcBorders>
                    <w:left w:val="single" w:color="auto" w:sz="2" w:space="0"/>
                  </w:tcBorders>
                  <w:vAlign w:val="center"/>
                </w:tcPr>
                <w:p>
                  <w:pPr>
                    <w:pStyle w:val="92"/>
                    <w:rPr>
                      <w:rFonts w:eastAsia="仿宋_GB2312"/>
                    </w:rPr>
                  </w:pPr>
                  <w:r>
                    <w:rPr>
                      <w:rFonts w:eastAsia="仿宋_GB2312"/>
                    </w:rPr>
                    <w:t>集气罩</w:t>
                  </w:r>
                </w:p>
              </w:tc>
              <w:tc>
                <w:tcPr>
                  <w:tcW w:w="1144" w:type="pct"/>
                  <w:vAlign w:val="center"/>
                </w:tcPr>
                <w:p>
                  <w:pPr>
                    <w:pStyle w:val="92"/>
                    <w:rPr>
                      <w:rFonts w:eastAsia="仿宋_GB2312"/>
                    </w:rPr>
                  </w:pPr>
                  <w:r>
                    <w:rPr>
                      <w:rFonts w:eastAsia="仿宋_GB2312"/>
                    </w:rPr>
                    <w:t>18个</w:t>
                  </w:r>
                </w:p>
              </w:tc>
              <w:tc>
                <w:tcPr>
                  <w:tcW w:w="1294" w:type="pct"/>
                  <w:vMerge w:val="continue"/>
                  <w:vAlign w:val="center"/>
                </w:tcPr>
                <w:p>
                  <w:pPr>
                    <w:jc w:val="center"/>
                    <w:rPr>
                      <w:rFonts w:ascii="Times New Roman" w:hAnsi="Times New Roman" w:eastAsia="仿宋_GB2312"/>
                      <w:color w:val="000000"/>
                      <w:szCs w:val="21"/>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493" w:type="pct"/>
                  <w:vMerge w:val="continue"/>
                  <w:tcBorders>
                    <w:right w:val="single" w:color="auto" w:sz="2" w:space="0"/>
                  </w:tcBorders>
                  <w:vAlign w:val="center"/>
                </w:tcPr>
                <w:p>
                  <w:pPr>
                    <w:pStyle w:val="92"/>
                    <w:rPr>
                      <w:rFonts w:eastAsia="仿宋_GB2312"/>
                    </w:rPr>
                  </w:pPr>
                </w:p>
              </w:tc>
              <w:tc>
                <w:tcPr>
                  <w:tcW w:w="1582" w:type="pct"/>
                  <w:gridSpan w:val="2"/>
                  <w:tcBorders>
                    <w:left w:val="single" w:color="auto" w:sz="2" w:space="0"/>
                  </w:tcBorders>
                  <w:vAlign w:val="center"/>
                </w:tcPr>
                <w:p>
                  <w:pPr>
                    <w:pStyle w:val="92"/>
                    <w:rPr>
                      <w:rFonts w:eastAsia="仿宋_GB2312"/>
                    </w:rPr>
                  </w:pPr>
                  <w:r>
                    <w:rPr>
                      <w:rFonts w:eastAsia="仿宋_GB2312"/>
                    </w:rPr>
                    <w:t>活性炭吸附装置</w:t>
                  </w:r>
                </w:p>
              </w:tc>
              <w:tc>
                <w:tcPr>
                  <w:tcW w:w="1144" w:type="pct"/>
                  <w:vAlign w:val="center"/>
                </w:tcPr>
                <w:p>
                  <w:pPr>
                    <w:pStyle w:val="92"/>
                    <w:rPr>
                      <w:rFonts w:eastAsia="仿宋_GB2312"/>
                    </w:rPr>
                  </w:pPr>
                  <w:r>
                    <w:rPr>
                      <w:rFonts w:eastAsia="仿宋_GB2312"/>
                    </w:rPr>
                    <w:t>1套</w:t>
                  </w:r>
                </w:p>
              </w:tc>
              <w:tc>
                <w:tcPr>
                  <w:tcW w:w="1294" w:type="pct"/>
                  <w:vAlign w:val="center"/>
                </w:tcPr>
                <w:p>
                  <w:pPr>
                    <w:jc w:val="center"/>
                    <w:rPr>
                      <w:rFonts w:ascii="Times New Roman" w:hAnsi="Times New Roman" w:eastAsia="仿宋_GB2312"/>
                      <w:color w:val="000000"/>
                    </w:rPr>
                  </w:pPr>
                  <w:r>
                    <w:rPr>
                      <w:rFonts w:ascii="Times New Roman" w:hAnsi="Times New Roman" w:eastAsia="仿宋_GB2312"/>
                      <w:color w:val="000000"/>
                    </w:rPr>
                    <w:t>新建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cantSplit/>
                <w:trHeight w:val="13" w:hRule="atLeast"/>
              </w:trPr>
              <w:tc>
                <w:tcPr>
                  <w:tcW w:w="487" w:type="pct"/>
                  <w:vMerge w:val="continue"/>
                  <w:vAlign w:val="center"/>
                </w:tcPr>
                <w:p>
                  <w:pPr>
                    <w:pStyle w:val="92"/>
                    <w:rPr>
                      <w:rFonts w:eastAsia="仿宋_GB2312"/>
                    </w:rPr>
                  </w:pPr>
                </w:p>
              </w:tc>
              <w:tc>
                <w:tcPr>
                  <w:tcW w:w="493" w:type="pct"/>
                  <w:vMerge w:val="continue"/>
                  <w:tcBorders>
                    <w:right w:val="single" w:color="auto" w:sz="2" w:space="0"/>
                  </w:tcBorders>
                  <w:vAlign w:val="center"/>
                </w:tcPr>
                <w:p>
                  <w:pPr>
                    <w:pStyle w:val="92"/>
                    <w:rPr>
                      <w:rFonts w:eastAsia="仿宋_GB2312"/>
                    </w:rPr>
                  </w:pPr>
                </w:p>
              </w:tc>
              <w:tc>
                <w:tcPr>
                  <w:tcW w:w="1582" w:type="pct"/>
                  <w:gridSpan w:val="2"/>
                  <w:tcBorders>
                    <w:left w:val="single" w:color="auto" w:sz="2" w:space="0"/>
                  </w:tcBorders>
                  <w:vAlign w:val="center"/>
                </w:tcPr>
                <w:p>
                  <w:pPr>
                    <w:pStyle w:val="92"/>
                    <w:rPr>
                      <w:rFonts w:eastAsia="仿宋_GB2312"/>
                    </w:rPr>
                  </w:pPr>
                  <w:r>
                    <w:rPr>
                      <w:rFonts w:eastAsia="仿宋_GB2312"/>
                    </w:rPr>
                    <w:t>排气筒</w:t>
                  </w:r>
                </w:p>
              </w:tc>
              <w:tc>
                <w:tcPr>
                  <w:tcW w:w="1144" w:type="pct"/>
                  <w:vAlign w:val="center"/>
                </w:tcPr>
                <w:p>
                  <w:pPr>
                    <w:pStyle w:val="92"/>
                    <w:rPr>
                      <w:rFonts w:eastAsia="仿宋_GB2312"/>
                    </w:rPr>
                  </w:pPr>
                  <w:r>
                    <w:rPr>
                      <w:rFonts w:eastAsia="仿宋_GB2312"/>
                    </w:rPr>
                    <w:t>1根</w:t>
                  </w:r>
                </w:p>
              </w:tc>
              <w:tc>
                <w:tcPr>
                  <w:tcW w:w="129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新建</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cantSplit/>
                <w:trHeight w:val="13" w:hRule="atLeast"/>
              </w:trPr>
              <w:tc>
                <w:tcPr>
                  <w:tcW w:w="487" w:type="pct"/>
                  <w:vMerge w:val="continue"/>
                  <w:vAlign w:val="center"/>
                </w:tcPr>
                <w:p>
                  <w:pPr>
                    <w:pStyle w:val="92"/>
                    <w:rPr>
                      <w:rFonts w:eastAsia="仿宋_GB2312"/>
                    </w:rPr>
                  </w:pPr>
                </w:p>
              </w:tc>
              <w:tc>
                <w:tcPr>
                  <w:tcW w:w="493" w:type="pct"/>
                  <w:tcBorders>
                    <w:right w:val="single" w:color="auto" w:sz="2" w:space="0"/>
                  </w:tcBorders>
                  <w:vAlign w:val="center"/>
                </w:tcPr>
                <w:p>
                  <w:pPr>
                    <w:pStyle w:val="92"/>
                    <w:rPr>
                      <w:rFonts w:eastAsia="仿宋_GB2312"/>
                    </w:rPr>
                  </w:pPr>
                  <w:r>
                    <w:rPr>
                      <w:rFonts w:eastAsia="仿宋_GB2312"/>
                    </w:rPr>
                    <w:t>废水</w:t>
                  </w:r>
                </w:p>
              </w:tc>
              <w:tc>
                <w:tcPr>
                  <w:tcW w:w="1582" w:type="pct"/>
                  <w:gridSpan w:val="2"/>
                  <w:tcBorders>
                    <w:left w:val="single" w:color="auto" w:sz="2" w:space="0"/>
                  </w:tcBorders>
                  <w:vAlign w:val="center"/>
                </w:tcPr>
                <w:p>
                  <w:pPr>
                    <w:pStyle w:val="92"/>
                    <w:rPr>
                      <w:rFonts w:eastAsia="仿宋_GB2312"/>
                    </w:rPr>
                  </w:pPr>
                  <w:r>
                    <w:rPr>
                      <w:rFonts w:eastAsia="仿宋_GB2312"/>
                    </w:rPr>
                    <w:t>化粪池</w:t>
                  </w:r>
                </w:p>
              </w:tc>
              <w:tc>
                <w:tcPr>
                  <w:tcW w:w="1144" w:type="pct"/>
                  <w:vAlign w:val="center"/>
                </w:tcPr>
                <w:p>
                  <w:pPr>
                    <w:pStyle w:val="92"/>
                    <w:rPr>
                      <w:rFonts w:eastAsia="仿宋_GB2312"/>
                    </w:rPr>
                  </w:pPr>
                  <w:r>
                    <w:rPr>
                      <w:rFonts w:eastAsia="仿宋_GB2312"/>
                    </w:rPr>
                    <w:t>1座</w:t>
                  </w:r>
                </w:p>
              </w:tc>
              <w:tc>
                <w:tcPr>
                  <w:tcW w:w="1294" w:type="pct"/>
                  <w:vAlign w:val="center"/>
                </w:tcPr>
                <w:p>
                  <w:pPr>
                    <w:pStyle w:val="92"/>
                    <w:rPr>
                      <w:rFonts w:eastAsia="仿宋_GB2312"/>
                    </w:rPr>
                  </w:pPr>
                  <w:r>
                    <w:rPr>
                      <w:rFonts w:eastAsia="仿宋_GB2312"/>
                    </w:rPr>
                    <w:t>依托所在楼房现有设施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9" w:hRule="atLeast"/>
              </w:trPr>
              <w:tc>
                <w:tcPr>
                  <w:tcW w:w="487" w:type="pct"/>
                  <w:vMerge w:val="continue"/>
                  <w:vAlign w:val="center"/>
                </w:tcPr>
                <w:p>
                  <w:pPr>
                    <w:pStyle w:val="92"/>
                    <w:rPr>
                      <w:rFonts w:eastAsia="仿宋_GB2312"/>
                    </w:rPr>
                  </w:pPr>
                </w:p>
              </w:tc>
              <w:tc>
                <w:tcPr>
                  <w:tcW w:w="493" w:type="pct"/>
                  <w:tcBorders>
                    <w:right w:val="single" w:color="auto" w:sz="2" w:space="0"/>
                  </w:tcBorders>
                  <w:vAlign w:val="center"/>
                </w:tcPr>
                <w:p>
                  <w:pPr>
                    <w:pStyle w:val="92"/>
                    <w:rPr>
                      <w:rFonts w:eastAsia="仿宋_GB2312"/>
                    </w:rPr>
                  </w:pPr>
                  <w:r>
                    <w:rPr>
                      <w:rFonts w:eastAsia="仿宋_GB2312"/>
                    </w:rPr>
                    <w:t>固废</w:t>
                  </w:r>
                </w:p>
              </w:tc>
              <w:tc>
                <w:tcPr>
                  <w:tcW w:w="1582" w:type="pct"/>
                  <w:gridSpan w:val="2"/>
                  <w:tcBorders>
                    <w:left w:val="single" w:color="auto" w:sz="2" w:space="0"/>
                  </w:tcBorders>
                  <w:vAlign w:val="center"/>
                </w:tcPr>
                <w:p>
                  <w:pPr>
                    <w:pStyle w:val="92"/>
                    <w:rPr>
                      <w:rFonts w:eastAsia="仿宋_GB2312"/>
                    </w:rPr>
                  </w:pPr>
                  <w:r>
                    <w:rPr>
                      <w:rFonts w:eastAsia="仿宋_GB2312"/>
                    </w:rPr>
                    <w:t>危险废物仓库</w:t>
                  </w:r>
                </w:p>
              </w:tc>
              <w:tc>
                <w:tcPr>
                  <w:tcW w:w="1144" w:type="pct"/>
                  <w:vAlign w:val="center"/>
                </w:tcPr>
                <w:p>
                  <w:pPr>
                    <w:pStyle w:val="92"/>
                    <w:rPr>
                      <w:rFonts w:eastAsia="仿宋_GB2312"/>
                    </w:rPr>
                  </w:pPr>
                  <w:r>
                    <w:rPr>
                      <w:rFonts w:eastAsia="仿宋_GB2312"/>
                    </w:rPr>
                    <w:t>1间，20m</w:t>
                  </w:r>
                  <w:r>
                    <w:rPr>
                      <w:rFonts w:eastAsia="仿宋_GB2312"/>
                      <w:vertAlign w:val="superscript"/>
                    </w:rPr>
                    <w:t>2</w:t>
                  </w:r>
                </w:p>
              </w:tc>
              <w:tc>
                <w:tcPr>
                  <w:tcW w:w="1294" w:type="pct"/>
                  <w:vAlign w:val="center"/>
                </w:tcPr>
                <w:p>
                  <w:pPr>
                    <w:pStyle w:val="92"/>
                    <w:rPr>
                      <w:rFonts w:eastAsia="仿宋_GB2312"/>
                    </w:rPr>
                  </w:pPr>
                  <w:r>
                    <w:rPr>
                      <w:rFonts w:eastAsia="仿宋_GB2312"/>
                    </w:rPr>
                    <w:t>在现有楼房内改造</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vAlign w:val="center"/>
                </w:tcPr>
                <w:p>
                  <w:pPr>
                    <w:pStyle w:val="92"/>
                    <w:rPr>
                      <w:rFonts w:eastAsia="仿宋_GB2312"/>
                    </w:rPr>
                  </w:pPr>
                </w:p>
              </w:tc>
              <w:tc>
                <w:tcPr>
                  <w:tcW w:w="493" w:type="pct"/>
                  <w:tcBorders>
                    <w:right w:val="single" w:color="auto" w:sz="2" w:space="0"/>
                  </w:tcBorders>
                  <w:vAlign w:val="center"/>
                </w:tcPr>
                <w:p>
                  <w:pPr>
                    <w:pStyle w:val="75"/>
                    <w:rPr>
                      <w:rFonts w:eastAsia="仿宋_GB2312" w:cs="Times New Roman"/>
                      <w:color w:val="000000"/>
                    </w:rPr>
                  </w:pPr>
                  <w:r>
                    <w:rPr>
                      <w:rFonts w:eastAsia="仿宋_GB2312" w:cs="Times New Roman"/>
                      <w:color w:val="000000"/>
                    </w:rPr>
                    <w:t>噪声</w:t>
                  </w:r>
                </w:p>
              </w:tc>
              <w:tc>
                <w:tcPr>
                  <w:tcW w:w="1582" w:type="pct"/>
                  <w:gridSpan w:val="2"/>
                  <w:tcBorders>
                    <w:left w:val="single" w:color="auto" w:sz="2" w:space="0"/>
                  </w:tcBorders>
                  <w:vAlign w:val="center"/>
                </w:tcPr>
                <w:p>
                  <w:pPr>
                    <w:pStyle w:val="75"/>
                    <w:rPr>
                      <w:rFonts w:eastAsia="仿宋_GB2312" w:cs="Times New Roman"/>
                      <w:color w:val="000000"/>
                    </w:rPr>
                  </w:pPr>
                  <w:r>
                    <w:rPr>
                      <w:rFonts w:eastAsia="仿宋_GB2312" w:cs="Times New Roman"/>
                      <w:color w:val="000000"/>
                    </w:rPr>
                    <w:t>低噪声设备、减振底座、建筑隔声</w:t>
                  </w:r>
                </w:p>
              </w:tc>
              <w:tc>
                <w:tcPr>
                  <w:tcW w:w="1144" w:type="pct"/>
                  <w:vAlign w:val="center"/>
                </w:tcPr>
                <w:p>
                  <w:pPr>
                    <w:pStyle w:val="75"/>
                    <w:rPr>
                      <w:rFonts w:eastAsia="仿宋_GB2312" w:cs="Times New Roman"/>
                      <w:color w:val="000000"/>
                    </w:rPr>
                  </w:pPr>
                  <w:r>
                    <w:rPr>
                      <w:rFonts w:eastAsia="仿宋_GB2312" w:cs="Times New Roman"/>
                      <w:color w:val="000000"/>
                    </w:rPr>
                    <w:t>降噪量20</w:t>
                  </w:r>
                  <w:r>
                    <w:rPr>
                      <w:rFonts w:hint="eastAsia" w:eastAsia="仿宋_GB2312" w:cs="Times New Roman"/>
                      <w:color w:val="000000"/>
                    </w:rPr>
                    <w:t>-</w:t>
                  </w:r>
                  <w:r>
                    <w:rPr>
                      <w:rFonts w:eastAsia="仿宋_GB2312" w:cs="Times New Roman"/>
                      <w:color w:val="000000"/>
                    </w:rPr>
                    <w:t>25dB(A)</w:t>
                  </w:r>
                </w:p>
              </w:tc>
              <w:tc>
                <w:tcPr>
                  <w:tcW w:w="1294" w:type="pct"/>
                  <w:vAlign w:val="center"/>
                </w:tcPr>
                <w:p>
                  <w:pPr>
                    <w:pStyle w:val="75"/>
                    <w:rPr>
                      <w:rFonts w:eastAsia="仿宋_GB2312" w:cs="Times New Roman"/>
                      <w:color w:val="000000"/>
                    </w:rPr>
                  </w:pPr>
                  <w:r>
                    <w:rPr>
                      <w:rFonts w:eastAsia="仿宋_GB2312" w:cs="Times New Roman"/>
                      <w:color w:val="000000"/>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 w:hRule="atLeast"/>
              </w:trPr>
              <w:tc>
                <w:tcPr>
                  <w:tcW w:w="487" w:type="pct"/>
                  <w:vMerge w:val="continue"/>
                  <w:tcBorders>
                    <w:bottom w:val="single" w:color="auto" w:sz="18" w:space="0"/>
                  </w:tcBorders>
                  <w:vAlign w:val="center"/>
                </w:tcPr>
                <w:p>
                  <w:pPr>
                    <w:pStyle w:val="92"/>
                    <w:rPr>
                      <w:rFonts w:eastAsia="仿宋_GB2312"/>
                    </w:rPr>
                  </w:pPr>
                </w:p>
              </w:tc>
              <w:tc>
                <w:tcPr>
                  <w:tcW w:w="493" w:type="pct"/>
                  <w:tcBorders>
                    <w:bottom w:val="single" w:color="auto" w:sz="18" w:space="0"/>
                    <w:right w:val="single" w:color="auto" w:sz="2" w:space="0"/>
                  </w:tcBorders>
                  <w:vAlign w:val="center"/>
                </w:tcPr>
                <w:p>
                  <w:pPr>
                    <w:pStyle w:val="75"/>
                    <w:rPr>
                      <w:rFonts w:eastAsia="仿宋_GB2312" w:cs="Times New Roman"/>
                      <w:color w:val="000000"/>
                    </w:rPr>
                  </w:pPr>
                  <w:r>
                    <w:rPr>
                      <w:rFonts w:eastAsia="仿宋_GB2312" w:cs="Times New Roman"/>
                      <w:color w:val="000000"/>
                    </w:rPr>
                    <w:t>绿化</w:t>
                  </w:r>
                </w:p>
              </w:tc>
              <w:tc>
                <w:tcPr>
                  <w:tcW w:w="1582" w:type="pct"/>
                  <w:gridSpan w:val="2"/>
                  <w:tcBorders>
                    <w:left w:val="single" w:color="auto" w:sz="2" w:space="0"/>
                    <w:bottom w:val="single" w:color="auto" w:sz="18" w:space="0"/>
                  </w:tcBorders>
                  <w:vAlign w:val="center"/>
                </w:tcPr>
                <w:p>
                  <w:pPr>
                    <w:pStyle w:val="75"/>
                    <w:rPr>
                      <w:rFonts w:eastAsia="仿宋_GB2312" w:cs="Times New Roman"/>
                      <w:color w:val="000000"/>
                    </w:rPr>
                  </w:pPr>
                  <w:r>
                    <w:rPr>
                      <w:rFonts w:eastAsia="仿宋_GB2312" w:cs="Times New Roman"/>
                      <w:color w:val="000000"/>
                    </w:rPr>
                    <w:t>项目范围内绿化223.3m</w:t>
                  </w:r>
                  <w:r>
                    <w:rPr>
                      <w:rFonts w:eastAsia="仿宋_GB2312" w:cs="Times New Roman"/>
                      <w:color w:val="000000"/>
                      <w:vertAlign w:val="superscript"/>
                    </w:rPr>
                    <w:t>2</w:t>
                  </w:r>
                </w:p>
              </w:tc>
              <w:tc>
                <w:tcPr>
                  <w:tcW w:w="1144" w:type="pct"/>
                  <w:tcBorders>
                    <w:bottom w:val="single" w:color="auto" w:sz="18" w:space="0"/>
                  </w:tcBorders>
                  <w:vAlign w:val="center"/>
                </w:tcPr>
                <w:p>
                  <w:pPr>
                    <w:pStyle w:val="75"/>
                    <w:rPr>
                      <w:rFonts w:eastAsia="仿宋_GB2312" w:cs="Times New Roman"/>
                      <w:color w:val="000000"/>
                    </w:rPr>
                  </w:pPr>
                  <w:r>
                    <w:rPr>
                      <w:rFonts w:hint="eastAsia" w:eastAsia="仿宋_GB2312" w:cs="Times New Roman"/>
                      <w:color w:val="000000"/>
                    </w:rPr>
                    <w:t>/</w:t>
                  </w:r>
                </w:p>
              </w:tc>
              <w:tc>
                <w:tcPr>
                  <w:tcW w:w="1294" w:type="pct"/>
                  <w:tcBorders>
                    <w:bottom w:val="single" w:color="auto" w:sz="18" w:space="0"/>
                  </w:tcBorders>
                  <w:vAlign w:val="center"/>
                </w:tcPr>
                <w:p>
                  <w:pPr>
                    <w:pStyle w:val="75"/>
                    <w:rPr>
                      <w:rFonts w:eastAsia="仿宋_GB2312" w:cs="Times New Roman"/>
                      <w:color w:val="000000"/>
                    </w:rPr>
                  </w:pPr>
                  <w:r>
                    <w:rPr>
                      <w:rFonts w:eastAsia="仿宋_GB2312" w:cs="Times New Roman"/>
                      <w:color w:val="000000"/>
                    </w:rPr>
                    <w:t>依托现有绿化</w:t>
                  </w:r>
                </w:p>
              </w:tc>
            </w:tr>
          </w:tbl>
          <w:p>
            <w:pPr>
              <w:autoSpaceDE w:val="0"/>
              <w:autoSpaceDN w:val="0"/>
              <w:adjustRightInd w:val="0"/>
              <w:snapToGrid w:val="0"/>
              <w:spacing w:line="500" w:lineRule="exact"/>
              <w:rPr>
                <w:rFonts w:ascii="Times New Roman" w:hAnsi="Times New Roman" w:eastAsia="仿宋_GB2312"/>
                <w:b/>
                <w:bCs/>
                <w:color w:val="000000"/>
                <w:kern w:val="0"/>
                <w:sz w:val="24"/>
                <w:szCs w:val="24"/>
              </w:rPr>
            </w:pPr>
            <w:r>
              <w:rPr>
                <w:rFonts w:ascii="Times New Roman" w:hAnsi="Times New Roman" w:eastAsia="仿宋_GB2312"/>
                <w:b/>
                <w:bCs/>
                <w:color w:val="000000"/>
                <w:kern w:val="0"/>
                <w:sz w:val="24"/>
                <w:szCs w:val="24"/>
              </w:rPr>
              <w:t>6、公辅工程</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（1）给水</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项目用水主要有生活用水、</w:t>
            </w:r>
            <w:r>
              <w:rPr>
                <w:rFonts w:ascii="Times New Roman" w:hAnsi="Times New Roman" w:eastAsia="仿宋_GB2312"/>
                <w:color w:val="000000"/>
                <w:sz w:val="24"/>
              </w:rPr>
              <w:t>纯水制备用水、实验室仪器及器皿清洗用水、循环冷却系统用水以及</w:t>
            </w:r>
            <w:r>
              <w:rPr>
                <w:rFonts w:ascii="Times New Roman" w:hAnsi="Times New Roman" w:eastAsia="仿宋_GB2312"/>
                <w:color w:val="000000"/>
                <w:sz w:val="24"/>
                <w:szCs w:val="24"/>
              </w:rPr>
              <w:t>实验室台面及地面</w:t>
            </w:r>
            <w:r>
              <w:rPr>
                <w:rFonts w:ascii="Times New Roman" w:hAnsi="Times New Roman" w:eastAsia="仿宋_GB2312"/>
                <w:color w:val="000000"/>
                <w:sz w:val="24"/>
              </w:rPr>
              <w:t>擦洗用水，其中纯水制备所得纯水用于试剂配制和实验室仪器及器皿润洗</w:t>
            </w:r>
            <w:r>
              <w:rPr>
                <w:rFonts w:ascii="Times New Roman" w:hAnsi="Times New Roman" w:eastAsia="仿宋_GB2312"/>
                <w:color w:val="000000"/>
                <w:sz w:val="24"/>
                <w:szCs w:val="24"/>
              </w:rPr>
              <w:t>。</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①</w:t>
            </w:r>
            <w:r>
              <w:rPr>
                <w:rFonts w:ascii="Times New Roman" w:hAnsi="Times New Roman" w:eastAsia="仿宋_GB2312"/>
                <w:color w:val="000000"/>
                <w:sz w:val="24"/>
                <w:szCs w:val="24"/>
              </w:rPr>
              <w:t>生活用水：项目职工定员27人，</w:t>
            </w:r>
            <w:r>
              <w:rPr>
                <w:rFonts w:ascii="Times New Roman" w:hAnsi="Times New Roman" w:eastAsia="仿宋_GB2312"/>
                <w:color w:val="000000"/>
                <w:sz w:val="24"/>
              </w:rPr>
              <w:t>不设置住宿，参照</w:t>
            </w:r>
            <w:r>
              <w:rPr>
                <w:rFonts w:ascii="Times New Roman" w:hAnsi="Times New Roman" w:eastAsia="仿宋_GB2312"/>
                <w:color w:val="000000"/>
                <w:sz w:val="24"/>
                <w:szCs w:val="24"/>
              </w:rPr>
              <w:t>《江苏省工业、服务业和生活用水定额》（2014版），员工生活用水量按50 L/人•d计，则项目营运期生活用水总量约为337.5t/a。</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②</w:t>
            </w:r>
            <w:r>
              <w:rPr>
                <w:rFonts w:ascii="Times New Roman" w:hAnsi="Times New Roman" w:eastAsia="仿宋_GB2312"/>
                <w:color w:val="000000"/>
                <w:sz w:val="24"/>
                <w:szCs w:val="24"/>
              </w:rPr>
              <w:t>纯水制备用水：</w:t>
            </w:r>
            <w:r>
              <w:rPr>
                <w:rFonts w:ascii="Times New Roman" w:hAnsi="Times New Roman" w:eastAsia="仿宋_GB2312"/>
                <w:color w:val="000000"/>
                <w:sz w:val="24"/>
              </w:rPr>
              <w:t>实验室纯水采用反渗透膜纯水设备制备，均用于</w:t>
            </w:r>
            <w:r>
              <w:rPr>
                <w:rFonts w:ascii="Times New Roman" w:hAnsi="Times New Roman" w:eastAsia="仿宋_GB2312"/>
                <w:color w:val="000000"/>
                <w:sz w:val="24"/>
                <w:szCs w:val="24"/>
              </w:rPr>
              <w:t>实验</w:t>
            </w:r>
            <w:r>
              <w:rPr>
                <w:rFonts w:ascii="Times New Roman" w:hAnsi="Times New Roman" w:eastAsia="仿宋_GB2312"/>
                <w:color w:val="000000"/>
                <w:sz w:val="24"/>
              </w:rPr>
              <w:t>室试剂配制、仪器及器皿润洗等实验</w:t>
            </w:r>
            <w:r>
              <w:rPr>
                <w:rFonts w:ascii="Times New Roman" w:hAnsi="Times New Roman" w:eastAsia="仿宋_GB2312"/>
                <w:color w:val="000000"/>
                <w:sz w:val="24"/>
                <w:szCs w:val="24"/>
              </w:rPr>
              <w:t>过程中</w:t>
            </w:r>
            <w:r>
              <w:rPr>
                <w:rFonts w:ascii="Times New Roman" w:hAnsi="Times New Roman" w:eastAsia="仿宋_GB2312"/>
                <w:color w:val="000000"/>
                <w:sz w:val="24"/>
              </w:rPr>
              <w:t>所需用水</w:t>
            </w:r>
            <w:r>
              <w:rPr>
                <w:rFonts w:ascii="Times New Roman" w:hAnsi="Times New Roman" w:eastAsia="仿宋_GB2312"/>
                <w:color w:val="000000"/>
                <w:sz w:val="24"/>
                <w:szCs w:val="24"/>
              </w:rPr>
              <w:t>。项目纯水</w:t>
            </w:r>
            <w:r>
              <w:rPr>
                <w:rFonts w:ascii="Times New Roman" w:hAnsi="Times New Roman" w:eastAsia="仿宋_GB2312"/>
                <w:color w:val="000000"/>
                <w:sz w:val="24"/>
              </w:rPr>
              <w:t>制备</w:t>
            </w:r>
            <w:r>
              <w:rPr>
                <w:rFonts w:ascii="Times New Roman" w:hAnsi="Times New Roman" w:eastAsia="仿宋_GB2312"/>
                <w:color w:val="000000"/>
                <w:sz w:val="24"/>
                <w:szCs w:val="24"/>
              </w:rPr>
              <w:t>用</w:t>
            </w:r>
            <w:r>
              <w:rPr>
                <w:rFonts w:ascii="Times New Roman" w:hAnsi="Times New Roman" w:eastAsia="仿宋_GB2312"/>
                <w:color w:val="000000"/>
                <w:sz w:val="24"/>
              </w:rPr>
              <w:t>水</w:t>
            </w:r>
            <w:r>
              <w:rPr>
                <w:rFonts w:ascii="Times New Roman" w:hAnsi="Times New Roman" w:eastAsia="仿宋_GB2312"/>
                <w:color w:val="000000"/>
                <w:sz w:val="24"/>
                <w:szCs w:val="24"/>
              </w:rPr>
              <w:t>量约5t/a</w:t>
            </w:r>
            <w:r>
              <w:rPr>
                <w:rFonts w:ascii="Times New Roman" w:hAnsi="Times New Roman" w:eastAsia="仿宋_GB2312"/>
                <w:color w:val="000000"/>
                <w:sz w:val="24"/>
              </w:rPr>
              <w:t>（</w:t>
            </w:r>
            <w:r>
              <w:rPr>
                <w:rFonts w:ascii="Times New Roman" w:hAnsi="Times New Roman" w:eastAsia="仿宋_GB2312"/>
                <w:color w:val="000000"/>
                <w:sz w:val="24"/>
                <w:szCs w:val="24"/>
              </w:rPr>
              <w:t>实验</w:t>
            </w:r>
            <w:r>
              <w:rPr>
                <w:rFonts w:ascii="Times New Roman" w:hAnsi="Times New Roman" w:eastAsia="仿宋_GB2312"/>
                <w:color w:val="000000"/>
                <w:sz w:val="24"/>
              </w:rPr>
              <w:t>室试剂配制用水3.5t/a，仪器及器皿润洗用水1.5t/a）</w:t>
            </w:r>
            <w:r>
              <w:rPr>
                <w:rFonts w:ascii="Times New Roman" w:hAnsi="Times New Roman" w:eastAsia="仿宋_GB2312"/>
                <w:color w:val="000000"/>
                <w:sz w:val="24"/>
                <w:szCs w:val="24"/>
              </w:rPr>
              <w:t>，纯水制备率为75%，则需6.7t/a的自来水进行制备。</w:t>
            </w:r>
          </w:p>
          <w:p>
            <w:pPr>
              <w:spacing w:line="500" w:lineRule="exact"/>
              <w:ind w:firstLine="480" w:firstLineChars="200"/>
              <w:rPr>
                <w:rFonts w:ascii="Times New Roman" w:hAnsi="Times New Roman" w:eastAsia="仿宋_GB2312"/>
                <w:color w:val="000000"/>
                <w:sz w:val="24"/>
              </w:rPr>
            </w:pPr>
            <w:r>
              <w:rPr>
                <w:rFonts w:hint="eastAsia" w:ascii="宋体" w:hAnsi="宋体" w:cs="宋体"/>
                <w:color w:val="000000"/>
                <w:sz w:val="24"/>
              </w:rPr>
              <w:t>③</w:t>
            </w:r>
            <w:r>
              <w:rPr>
                <w:rFonts w:ascii="Times New Roman" w:hAnsi="Times New Roman" w:eastAsia="仿宋_GB2312"/>
                <w:color w:val="000000"/>
                <w:sz w:val="24"/>
                <w:szCs w:val="24"/>
              </w:rPr>
              <w:t>实验仪器及器皿清洗用水：实验结束后需要将对实验仪器和玻璃器皿进行清洗，项目清洗用水量约为15t/a。</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④</w:t>
            </w:r>
            <w:r>
              <w:rPr>
                <w:rFonts w:ascii="Times New Roman" w:hAnsi="Times New Roman" w:eastAsia="仿宋_GB2312"/>
                <w:color w:val="000000"/>
                <w:sz w:val="24"/>
              </w:rPr>
              <w:t>循环冷却系统用水：冷却水循环系统为循环水式真空泵，水箱约为1L，一个月更换一次水箱中的水，年循环冷却系统用水0.012t/a。</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⑤</w:t>
            </w:r>
            <w:r>
              <w:rPr>
                <w:rFonts w:ascii="Times New Roman" w:hAnsi="Times New Roman" w:eastAsia="仿宋_GB2312"/>
                <w:color w:val="000000"/>
                <w:sz w:val="24"/>
                <w:szCs w:val="24"/>
              </w:rPr>
              <w:t>实验室台面及地面</w:t>
            </w:r>
            <w:r>
              <w:rPr>
                <w:rFonts w:ascii="Times New Roman" w:hAnsi="Times New Roman" w:eastAsia="仿宋_GB2312"/>
                <w:color w:val="000000"/>
                <w:sz w:val="24"/>
              </w:rPr>
              <w:t>擦洗用</w:t>
            </w:r>
            <w:r>
              <w:rPr>
                <w:rFonts w:ascii="Times New Roman" w:hAnsi="Times New Roman" w:eastAsia="仿宋_GB2312"/>
                <w:color w:val="000000"/>
                <w:sz w:val="24"/>
                <w:szCs w:val="24"/>
              </w:rPr>
              <w:t>水：定期对各个实验室的</w:t>
            </w:r>
            <w:r>
              <w:rPr>
                <w:rFonts w:ascii="Times New Roman" w:hAnsi="Times New Roman" w:eastAsia="仿宋_GB2312"/>
                <w:color w:val="000000"/>
                <w:sz w:val="24"/>
              </w:rPr>
              <w:t>台面和</w:t>
            </w:r>
            <w:r>
              <w:rPr>
                <w:rFonts w:ascii="Times New Roman" w:hAnsi="Times New Roman" w:eastAsia="仿宋_GB2312"/>
                <w:color w:val="000000"/>
                <w:sz w:val="24"/>
                <w:szCs w:val="24"/>
              </w:rPr>
              <w:t>地面进行清洁，用水量约5t/a。</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项目用水量共计</w:t>
            </w:r>
            <w:r>
              <w:rPr>
                <w:rFonts w:ascii="Times New Roman" w:hAnsi="Times New Roman" w:eastAsia="仿宋_GB2312"/>
                <w:color w:val="000000"/>
                <w:sz w:val="24"/>
              </w:rPr>
              <w:t>364.212</w:t>
            </w:r>
            <w:r>
              <w:rPr>
                <w:rFonts w:ascii="Times New Roman" w:hAnsi="Times New Roman" w:eastAsia="仿宋_GB2312"/>
                <w:color w:val="000000"/>
                <w:sz w:val="24"/>
                <w:szCs w:val="24"/>
              </w:rPr>
              <w:t>t/a，由市政供水管网提供。</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（2）排水</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①</w:t>
            </w:r>
            <w:r>
              <w:rPr>
                <w:rFonts w:ascii="Times New Roman" w:hAnsi="Times New Roman" w:eastAsia="仿宋_GB2312"/>
                <w:color w:val="000000"/>
                <w:sz w:val="24"/>
                <w:szCs w:val="24"/>
              </w:rPr>
              <w:t>生活污水：排放系数以用水量的0.8计，则生活污水排放量约为270t/a。</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②</w:t>
            </w:r>
            <w:r>
              <w:rPr>
                <w:rFonts w:hint="eastAsia" w:ascii="Times New Roman" w:hAnsi="Times New Roman" w:eastAsia="仿宋_GB2312"/>
                <w:color w:val="000000"/>
                <w:sz w:val="24"/>
                <w:szCs w:val="24"/>
              </w:rPr>
              <w:t>反冲洗废水和反渗透浓水</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纯水制备过程中将会产生1</w:t>
            </w:r>
            <w:r>
              <w:rPr>
                <w:rFonts w:ascii="Times New Roman" w:hAnsi="Times New Roman" w:eastAsia="仿宋_GB2312"/>
                <w:color w:val="000000"/>
                <w:sz w:val="24"/>
                <w:szCs w:val="24"/>
              </w:rPr>
              <w:t>.7</w:t>
            </w:r>
            <w:r>
              <w:rPr>
                <w:rFonts w:hint="eastAsia" w:ascii="Times New Roman" w:hAnsi="Times New Roman" w:eastAsia="仿宋_GB2312"/>
                <w:color w:val="000000"/>
                <w:sz w:val="24"/>
                <w:szCs w:val="24"/>
              </w:rPr>
              <w:t>t</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a的反冲洗废水和反渗透浓水。</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③</w:t>
            </w:r>
            <w:r>
              <w:rPr>
                <w:rFonts w:hint="eastAsia" w:ascii="Times New Roman" w:hAnsi="Times New Roman" w:eastAsia="仿宋_GB2312"/>
                <w:color w:val="000000"/>
                <w:sz w:val="24"/>
                <w:szCs w:val="24"/>
              </w:rPr>
              <w:t>仪器及器皿润洗废水：项目使用纯水进行润洗，润洗过程中产生1</w:t>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t</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a的仪器及器皿润洗废水。</w:t>
            </w:r>
          </w:p>
          <w:p>
            <w:pPr>
              <w:spacing w:line="500" w:lineRule="exact"/>
              <w:ind w:firstLine="480" w:firstLineChars="200"/>
              <w:rPr>
                <w:rFonts w:ascii="Times New Roman" w:hAnsi="Times New Roman" w:eastAsia="仿宋_GB2312"/>
                <w:color w:val="000000"/>
                <w:sz w:val="24"/>
              </w:rPr>
            </w:pPr>
            <w:r>
              <w:rPr>
                <w:rFonts w:hint="eastAsia" w:ascii="宋体" w:hAnsi="宋体" w:cs="宋体"/>
                <w:color w:val="000000"/>
                <w:sz w:val="24"/>
              </w:rPr>
              <w:t>④</w:t>
            </w:r>
            <w:r>
              <w:rPr>
                <w:rFonts w:ascii="Times New Roman" w:hAnsi="Times New Roman" w:eastAsia="仿宋_GB2312"/>
                <w:color w:val="000000"/>
                <w:sz w:val="24"/>
                <w:szCs w:val="24"/>
              </w:rPr>
              <w:t>实验仪器及器皿清洗废水：项目清洗废水量按总用水量的</w:t>
            </w:r>
            <w:r>
              <w:rPr>
                <w:rFonts w:ascii="Times New Roman" w:hAnsi="Times New Roman" w:eastAsia="仿宋_GB2312"/>
                <w:color w:val="000000"/>
                <w:sz w:val="24"/>
              </w:rPr>
              <w:t>8</w:t>
            </w:r>
            <w:r>
              <w:rPr>
                <w:rFonts w:ascii="Times New Roman" w:hAnsi="Times New Roman" w:eastAsia="仿宋_GB2312"/>
                <w:color w:val="000000"/>
                <w:sz w:val="24"/>
                <w:szCs w:val="24"/>
              </w:rPr>
              <w:t>0%计，则清洗废水量为</w:t>
            </w:r>
            <w:r>
              <w:rPr>
                <w:rFonts w:ascii="Times New Roman" w:hAnsi="Times New Roman" w:eastAsia="仿宋_GB2312"/>
                <w:color w:val="000000"/>
                <w:sz w:val="24"/>
              </w:rPr>
              <w:t>12</w:t>
            </w:r>
            <w:r>
              <w:rPr>
                <w:rFonts w:ascii="Times New Roman" w:hAnsi="Times New Roman" w:eastAsia="仿宋_GB2312"/>
                <w:color w:val="000000"/>
                <w:sz w:val="24"/>
                <w:szCs w:val="24"/>
              </w:rPr>
              <w:t>t/a。其中前两道</w:t>
            </w:r>
            <w:r>
              <w:rPr>
                <w:rFonts w:hint="eastAsia" w:ascii="Times New Roman" w:hAnsi="Times New Roman" w:eastAsia="仿宋_GB2312"/>
                <w:color w:val="000000"/>
                <w:sz w:val="24"/>
                <w:szCs w:val="24"/>
              </w:rPr>
              <w:t>废水浓度较高，</w:t>
            </w:r>
            <w:r>
              <w:rPr>
                <w:rFonts w:ascii="Times New Roman" w:hAnsi="Times New Roman" w:eastAsia="仿宋_GB2312"/>
                <w:color w:val="000000"/>
                <w:sz w:val="24"/>
                <w:szCs w:val="24"/>
              </w:rPr>
              <w:t>约占清洗废水量的</w:t>
            </w:r>
            <w:r>
              <w:rPr>
                <w:rFonts w:ascii="Times New Roman" w:hAnsi="Times New Roman" w:eastAsia="仿宋_GB2312"/>
                <w:color w:val="000000"/>
                <w:sz w:val="24"/>
              </w:rPr>
              <w:t>50</w:t>
            </w:r>
            <w:r>
              <w:rPr>
                <w:rFonts w:ascii="Times New Roman" w:hAnsi="Times New Roman" w:eastAsia="仿宋_GB2312"/>
                <w:color w:val="000000"/>
                <w:sz w:val="24"/>
                <w:szCs w:val="24"/>
              </w:rPr>
              <w:t>%，高浓度清洗废水量约为</w:t>
            </w:r>
            <w:r>
              <w:rPr>
                <w:rFonts w:ascii="Times New Roman" w:hAnsi="Times New Roman" w:eastAsia="仿宋_GB2312"/>
                <w:color w:val="000000"/>
                <w:sz w:val="24"/>
              </w:rPr>
              <w:t>6</w:t>
            </w:r>
            <w:r>
              <w:rPr>
                <w:rFonts w:ascii="Times New Roman" w:hAnsi="Times New Roman" w:eastAsia="仿宋_GB2312"/>
                <w:color w:val="000000"/>
                <w:sz w:val="24"/>
                <w:szCs w:val="24"/>
              </w:rPr>
              <w:t>t/a，该部分废水作为危险废物</w:t>
            </w:r>
            <w:r>
              <w:rPr>
                <w:rFonts w:ascii="Times New Roman" w:hAnsi="Times New Roman" w:eastAsia="仿宋_GB2312"/>
                <w:color w:val="000000"/>
                <w:sz w:val="24"/>
              </w:rPr>
              <w:t>委托有资质单位</w:t>
            </w:r>
            <w:r>
              <w:rPr>
                <w:rFonts w:ascii="Times New Roman" w:hAnsi="Times New Roman" w:eastAsia="仿宋_GB2312"/>
                <w:color w:val="000000"/>
                <w:sz w:val="24"/>
                <w:szCs w:val="24"/>
              </w:rPr>
              <w:t>处置。剩余一般清洗废水量为</w:t>
            </w:r>
            <w:r>
              <w:rPr>
                <w:rFonts w:ascii="Times New Roman" w:hAnsi="Times New Roman" w:eastAsia="仿宋_GB2312"/>
                <w:color w:val="000000"/>
                <w:sz w:val="24"/>
              </w:rPr>
              <w:t>6</w:t>
            </w:r>
            <w:r>
              <w:rPr>
                <w:rFonts w:ascii="Times New Roman" w:hAnsi="Times New Roman" w:eastAsia="仿宋_GB2312"/>
                <w:color w:val="000000"/>
                <w:sz w:val="24"/>
                <w:szCs w:val="24"/>
              </w:rPr>
              <w:t>t/a。</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⑤</w:t>
            </w:r>
            <w:r>
              <w:rPr>
                <w:rFonts w:ascii="Times New Roman" w:hAnsi="Times New Roman" w:eastAsia="仿宋_GB2312"/>
                <w:color w:val="000000"/>
                <w:sz w:val="24"/>
              </w:rPr>
              <w:t>循环冷却系统废水：循环冷却水箱容积1L，一个月更换一次水箱中的水，由于用水量较小，此处不考虑损耗，废水量为0.012t/a。</w:t>
            </w:r>
          </w:p>
          <w:p>
            <w:pPr>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rPr>
              <w:t>⑥</w:t>
            </w:r>
            <w:r>
              <w:rPr>
                <w:rFonts w:ascii="Times New Roman" w:hAnsi="Times New Roman" w:eastAsia="仿宋_GB2312"/>
                <w:color w:val="000000"/>
                <w:sz w:val="24"/>
                <w:szCs w:val="24"/>
              </w:rPr>
              <w:t>实验室台面及地面</w:t>
            </w:r>
            <w:r>
              <w:rPr>
                <w:rFonts w:ascii="Times New Roman" w:hAnsi="Times New Roman" w:eastAsia="仿宋_GB2312"/>
                <w:color w:val="000000"/>
                <w:sz w:val="24"/>
              </w:rPr>
              <w:t>擦洗</w:t>
            </w:r>
            <w:r>
              <w:rPr>
                <w:rFonts w:ascii="Times New Roman" w:hAnsi="Times New Roman" w:eastAsia="仿宋_GB2312"/>
                <w:color w:val="000000"/>
                <w:sz w:val="24"/>
                <w:szCs w:val="24"/>
              </w:rPr>
              <w:t>废水：实验室</w:t>
            </w:r>
            <w:r>
              <w:rPr>
                <w:rFonts w:hint="eastAsia" w:ascii="Times New Roman" w:hAnsi="Times New Roman" w:eastAsia="仿宋_GB2312"/>
                <w:color w:val="000000"/>
                <w:sz w:val="24"/>
                <w:szCs w:val="24"/>
              </w:rPr>
              <w:t>台面及</w:t>
            </w:r>
            <w:r>
              <w:rPr>
                <w:rFonts w:ascii="Times New Roman" w:hAnsi="Times New Roman" w:eastAsia="仿宋_GB2312"/>
                <w:color w:val="000000"/>
                <w:sz w:val="24"/>
                <w:szCs w:val="24"/>
              </w:rPr>
              <w:t>地面</w:t>
            </w:r>
            <w:r>
              <w:rPr>
                <w:rFonts w:hint="eastAsia" w:ascii="Times New Roman" w:hAnsi="Times New Roman" w:eastAsia="仿宋_GB2312"/>
                <w:color w:val="000000"/>
                <w:sz w:val="24"/>
                <w:szCs w:val="24"/>
              </w:rPr>
              <w:t>擦洗</w:t>
            </w:r>
            <w:r>
              <w:rPr>
                <w:rFonts w:ascii="Times New Roman" w:hAnsi="Times New Roman" w:eastAsia="仿宋_GB2312"/>
                <w:color w:val="000000"/>
                <w:sz w:val="24"/>
                <w:szCs w:val="24"/>
              </w:rPr>
              <w:t>废水量按用水量的80%计，则实验室台面及地面</w:t>
            </w:r>
            <w:r>
              <w:rPr>
                <w:rFonts w:hint="eastAsia" w:ascii="Times New Roman" w:hAnsi="Times New Roman" w:eastAsia="仿宋_GB2312"/>
                <w:color w:val="000000"/>
                <w:sz w:val="24"/>
                <w:szCs w:val="24"/>
              </w:rPr>
              <w:t>擦洗</w:t>
            </w:r>
            <w:r>
              <w:rPr>
                <w:rFonts w:ascii="Times New Roman" w:hAnsi="Times New Roman" w:eastAsia="仿宋_GB2312"/>
                <w:color w:val="000000"/>
                <w:sz w:val="24"/>
                <w:szCs w:val="24"/>
              </w:rPr>
              <w:t>废水约4t/a。</w:t>
            </w:r>
          </w:p>
          <w:p>
            <w:pPr>
              <w:spacing w:line="500" w:lineRule="exact"/>
              <w:ind w:firstLine="480" w:firstLineChars="200"/>
              <w:rPr>
                <w:rFonts w:ascii="Times New Roman" w:hAnsi="Times New Roman" w:eastAsia="仿宋_GB2312"/>
                <w:color w:val="000000"/>
                <w:sz w:val="24"/>
              </w:rPr>
            </w:pPr>
            <w:r>
              <w:rPr>
                <w:rFonts w:ascii="Times New Roman" w:hAnsi="Times New Roman" w:eastAsia="仿宋_GB2312"/>
                <w:color w:val="000000"/>
                <w:sz w:val="24"/>
                <w:szCs w:val="24"/>
              </w:rPr>
              <w:t>本项目废水量共计</w:t>
            </w:r>
            <w:r>
              <w:rPr>
                <w:rFonts w:ascii="Times New Roman" w:hAnsi="Times New Roman" w:eastAsia="仿宋_GB2312"/>
                <w:color w:val="000000"/>
                <w:sz w:val="24"/>
              </w:rPr>
              <w:t>282.812</w:t>
            </w:r>
            <w:r>
              <w:rPr>
                <w:rFonts w:ascii="Times New Roman" w:hAnsi="Times New Roman" w:eastAsia="仿宋_GB2312"/>
                <w:color w:val="000000"/>
                <w:sz w:val="24"/>
                <w:szCs w:val="24"/>
              </w:rPr>
              <w:t>t/a。</w:t>
            </w:r>
            <w:r>
              <w:rPr>
                <w:rFonts w:hint="eastAsia" w:ascii="Times New Roman" w:hAnsi="Times New Roman" w:eastAsia="仿宋_GB2312"/>
                <w:color w:val="000000"/>
                <w:sz w:val="24"/>
                <w:szCs w:val="24"/>
              </w:rPr>
              <w:t>反冲洗废水和反渗透浓水</w:t>
            </w:r>
            <w:r>
              <w:rPr>
                <w:rFonts w:ascii="Times New Roman" w:hAnsi="Times New Roman" w:eastAsia="仿宋_GB2312"/>
                <w:color w:val="000000"/>
                <w:sz w:val="24"/>
              </w:rPr>
              <w:t>、</w:t>
            </w:r>
            <w:r>
              <w:rPr>
                <w:rFonts w:hint="eastAsia" w:ascii="Times New Roman" w:hAnsi="Times New Roman" w:eastAsia="仿宋_GB2312"/>
                <w:color w:val="000000"/>
                <w:sz w:val="24"/>
              </w:rPr>
              <w:t>仪器及器皿润洗废水、后两道</w:t>
            </w:r>
            <w:r>
              <w:rPr>
                <w:rFonts w:ascii="Times New Roman" w:hAnsi="Times New Roman" w:eastAsia="仿宋_GB2312"/>
                <w:color w:val="000000"/>
                <w:sz w:val="24"/>
              </w:rPr>
              <w:t>实验室仪器及器皿清洗</w:t>
            </w:r>
            <w:r>
              <w:rPr>
                <w:rFonts w:hint="eastAsia" w:ascii="Times New Roman" w:hAnsi="Times New Roman" w:eastAsia="仿宋_GB2312"/>
                <w:color w:val="000000"/>
                <w:sz w:val="24"/>
              </w:rPr>
              <w:t>废</w:t>
            </w:r>
            <w:r>
              <w:rPr>
                <w:rFonts w:ascii="Times New Roman" w:hAnsi="Times New Roman" w:eastAsia="仿宋_GB2312"/>
                <w:color w:val="000000"/>
                <w:sz w:val="24"/>
              </w:rPr>
              <w:t>水、循环冷却系统</w:t>
            </w:r>
            <w:r>
              <w:rPr>
                <w:rFonts w:hint="eastAsia" w:ascii="Times New Roman" w:hAnsi="Times New Roman" w:eastAsia="仿宋_GB2312"/>
                <w:color w:val="000000"/>
                <w:sz w:val="24"/>
              </w:rPr>
              <w:t>废</w:t>
            </w:r>
            <w:r>
              <w:rPr>
                <w:rFonts w:ascii="Times New Roman" w:hAnsi="Times New Roman" w:eastAsia="仿宋_GB2312"/>
                <w:color w:val="000000"/>
                <w:sz w:val="24"/>
              </w:rPr>
              <w:t>水以及实验室台面及地面擦洗</w:t>
            </w:r>
            <w:r>
              <w:rPr>
                <w:rFonts w:hint="eastAsia" w:ascii="Times New Roman" w:hAnsi="Times New Roman" w:eastAsia="仿宋_GB2312"/>
                <w:color w:val="000000"/>
                <w:sz w:val="24"/>
              </w:rPr>
              <w:t>废</w:t>
            </w:r>
            <w:r>
              <w:rPr>
                <w:rFonts w:ascii="Times New Roman" w:hAnsi="Times New Roman" w:eastAsia="仿宋_GB2312"/>
                <w:color w:val="000000"/>
                <w:sz w:val="24"/>
              </w:rPr>
              <w:t>水</w:t>
            </w:r>
            <w:r>
              <w:rPr>
                <w:rFonts w:ascii="Times New Roman" w:hAnsi="Times New Roman" w:eastAsia="仿宋_GB2312"/>
                <w:color w:val="000000"/>
                <w:sz w:val="24"/>
                <w:szCs w:val="24"/>
              </w:rPr>
              <w:t>与生活污水一并通过化粪池处理达《污水综合排放标准》（GB 8978-1996）表4中三级标准和《污水排入城市下水道水质标准》（GB/T 31962-2015）表1中B等级标准，接管市政污水管网，排至江心洲污水处理厂处理，尾水最终达《城镇污水处理厂污染物排放标准》（GB 18918-2002）表1中的一级A标准</w:t>
            </w:r>
            <w:r>
              <w:rPr>
                <w:rFonts w:hint="eastAsia" w:ascii="Times New Roman" w:hAnsi="Times New Roman" w:eastAsia="仿宋_GB2312"/>
                <w:color w:val="000000"/>
                <w:sz w:val="24"/>
                <w:szCs w:val="24"/>
              </w:rPr>
              <w:t>，氟化物(以F-计)达到《污水综合排放标准》（GB 8978-1996）一级标准标准限值</w:t>
            </w:r>
            <w:r>
              <w:rPr>
                <w:rFonts w:ascii="Times New Roman" w:hAnsi="Times New Roman" w:eastAsia="仿宋_GB2312"/>
                <w:color w:val="000000"/>
                <w:sz w:val="24"/>
                <w:szCs w:val="24"/>
              </w:rPr>
              <w:t>后排入长江南京段。</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（3）供电</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项目年用电量约9万kwh，由市政电网供给。</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（4）绿化</w:t>
            </w:r>
          </w:p>
          <w:p>
            <w:pPr>
              <w:autoSpaceDE w:val="0"/>
              <w:autoSpaceDN w:val="0"/>
              <w:adjustRightInd w:val="0"/>
              <w:snapToGrid w:val="0"/>
              <w:spacing w:line="500" w:lineRule="exact"/>
              <w:ind w:firstLine="480" w:firstLineChars="200"/>
              <w:rPr>
                <w:rFonts w:ascii="Times New Roman" w:hAnsi="Times New Roman" w:eastAsia="仿宋_GB2312"/>
                <w:color w:val="000000"/>
              </w:rPr>
            </w:pPr>
            <w:r>
              <w:rPr>
                <w:rFonts w:ascii="Times New Roman" w:hAnsi="Times New Roman" w:eastAsia="仿宋_GB2312"/>
                <w:color w:val="000000"/>
                <w:sz w:val="24"/>
                <w:szCs w:val="24"/>
              </w:rPr>
              <w:t>项目依托凤凰西街241号现有绿化，绿化面积为223.3m</w:t>
            </w:r>
            <w:r>
              <w:rPr>
                <w:rFonts w:ascii="Times New Roman" w:hAnsi="Times New Roman" w:eastAsia="仿宋_GB2312"/>
                <w:color w:val="000000"/>
                <w:sz w:val="24"/>
                <w:szCs w:val="24"/>
                <w:vertAlign w:val="superscript"/>
              </w:rPr>
              <w:t>2</w:t>
            </w:r>
            <w:r>
              <w:rPr>
                <w:rFonts w:ascii="Times New Roman" w:hAnsi="Times New Roman" w:eastAsia="仿宋_GB2312"/>
                <w:color w:val="000000"/>
                <w:sz w:val="24"/>
                <w:szCs w:val="24"/>
              </w:rPr>
              <w:t>由凤凰西街241物业维护。</w:t>
            </w:r>
          </w:p>
          <w:p>
            <w:pPr>
              <w:autoSpaceDE w:val="0"/>
              <w:autoSpaceDN w:val="0"/>
              <w:adjustRightInd w:val="0"/>
              <w:snapToGrid w:val="0"/>
              <w:spacing w:line="500" w:lineRule="exact"/>
              <w:rPr>
                <w:rFonts w:ascii="Times New Roman" w:hAnsi="Times New Roman" w:eastAsia="仿宋_GB2312"/>
                <w:b/>
                <w:bCs/>
                <w:color w:val="000000"/>
                <w:kern w:val="0"/>
                <w:sz w:val="24"/>
                <w:szCs w:val="24"/>
              </w:rPr>
            </w:pPr>
            <w:r>
              <w:rPr>
                <w:rFonts w:ascii="Times New Roman" w:hAnsi="Times New Roman" w:eastAsia="仿宋_GB2312"/>
                <w:b/>
                <w:bCs/>
                <w:color w:val="000000"/>
                <w:kern w:val="0"/>
                <w:sz w:val="24"/>
                <w:szCs w:val="24"/>
              </w:rPr>
              <w:t>7、职工人数及工作制度</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职工人数：建设项目劳动定员27人。</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工作制度：实行白班8小时工作制度，年有效工作日为250天，不提供食宿。</w:t>
            </w:r>
          </w:p>
          <w:p>
            <w:pPr>
              <w:autoSpaceDE w:val="0"/>
              <w:autoSpaceDN w:val="0"/>
              <w:adjustRightInd w:val="0"/>
              <w:snapToGrid w:val="0"/>
              <w:spacing w:line="500" w:lineRule="exact"/>
              <w:rPr>
                <w:rFonts w:ascii="Times New Roman" w:hAnsi="Times New Roman" w:eastAsia="仿宋_GB2312"/>
                <w:b/>
                <w:bCs/>
                <w:color w:val="000000"/>
                <w:kern w:val="0"/>
                <w:sz w:val="24"/>
                <w:szCs w:val="24"/>
              </w:rPr>
            </w:pPr>
            <w:r>
              <w:rPr>
                <w:rFonts w:ascii="Times New Roman" w:hAnsi="Times New Roman" w:eastAsia="仿宋_GB2312"/>
                <w:b/>
                <w:bCs/>
                <w:color w:val="000000"/>
                <w:kern w:val="0"/>
                <w:sz w:val="24"/>
                <w:szCs w:val="24"/>
              </w:rPr>
              <w:t>8、周边环境概况</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项目位于南京市鼓楼区凤凰西街241号，周围主要为学校和住宅区。项目周围概况见附图3。</w:t>
            </w:r>
          </w:p>
          <w:p>
            <w:pPr>
              <w:pStyle w:val="2"/>
              <w:spacing w:line="500" w:lineRule="exact"/>
              <w:rPr>
                <w:rFonts w:ascii="Times New Roman" w:hAnsi="Times New Roman" w:eastAsia="仿宋_GB2312"/>
                <w:color w:val="000000"/>
              </w:rPr>
            </w:pPr>
          </w:p>
          <w:p>
            <w:pPr>
              <w:spacing w:line="500" w:lineRule="exact"/>
              <w:rPr>
                <w:rFonts w:ascii="Times New Roman" w:hAnsi="Times New Roman" w:eastAsia="仿宋_GB2312"/>
                <w:color w:val="000000"/>
              </w:rPr>
            </w:pPr>
          </w:p>
          <w:p>
            <w:pPr>
              <w:pStyle w:val="244"/>
              <w:spacing w:line="500" w:lineRule="exact"/>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27" w:type="dxa"/>
            <w:gridSpan w:val="10"/>
            <w:vAlign w:val="center"/>
          </w:tcPr>
          <w:p>
            <w:pPr>
              <w:pStyle w:val="83"/>
              <w:spacing w:before="120" w:beforeLines="50" w:line="480" w:lineRule="exact"/>
              <w:rPr>
                <w:rFonts w:ascii="Times New Roman" w:hAnsi="Times New Roman" w:eastAsia="仿宋_GB2312"/>
              </w:rPr>
            </w:pPr>
            <w:r>
              <w:rPr>
                <w:rFonts w:ascii="Times New Roman" w:hAnsi="Times New Roman" w:eastAsia="仿宋_GB2312"/>
              </w:rPr>
              <w:t>与项目有关的原有污染情况及主要环境问题：</w:t>
            </w:r>
          </w:p>
          <w:p>
            <w:pPr>
              <w:spacing w:line="500" w:lineRule="exact"/>
              <w:ind w:firstLine="480" w:firstLineChars="200"/>
              <w:outlineLvl w:val="0"/>
              <w:rPr>
                <w:rFonts w:ascii="Times New Roman" w:hAnsi="Times New Roman" w:eastAsia="仿宋_GB2312"/>
                <w:color w:val="000000"/>
                <w:kern w:val="0"/>
                <w:sz w:val="24"/>
                <w:szCs w:val="24"/>
              </w:rPr>
            </w:pPr>
            <w:r>
              <w:rPr>
                <w:rFonts w:hint="eastAsia" w:ascii="Times New Roman" w:hAnsi="Times New Roman" w:eastAsia="仿宋_GB2312"/>
                <w:color w:val="000000"/>
                <w:kern w:val="0"/>
                <w:sz w:val="24"/>
                <w:szCs w:val="24"/>
              </w:rPr>
              <w:t>本次项目所在地凤凰西街241号实验楼原为江苏省环境监测中心实验室，目前大楼已空置，大楼内</w:t>
            </w:r>
            <w:r>
              <w:rPr>
                <w:rFonts w:ascii="Times New Roman" w:hAnsi="Times New Roman" w:eastAsia="仿宋_GB2312"/>
                <w:color w:val="000000"/>
                <w:kern w:val="0"/>
                <w:sz w:val="24"/>
                <w:szCs w:val="24"/>
              </w:rPr>
              <w:t>原有</w:t>
            </w:r>
            <w:r>
              <w:rPr>
                <w:rFonts w:hint="eastAsia" w:ascii="Times New Roman" w:hAnsi="Times New Roman" w:eastAsia="仿宋_GB2312"/>
                <w:color w:val="000000"/>
                <w:kern w:val="0"/>
                <w:sz w:val="24"/>
                <w:szCs w:val="24"/>
              </w:rPr>
              <w:t>实验药品、</w:t>
            </w:r>
            <w:r>
              <w:rPr>
                <w:rFonts w:ascii="Times New Roman" w:hAnsi="Times New Roman" w:eastAsia="仿宋_GB2312"/>
                <w:color w:val="000000"/>
                <w:kern w:val="0"/>
                <w:sz w:val="24"/>
                <w:szCs w:val="24"/>
              </w:rPr>
              <w:t>检测分析设备</w:t>
            </w:r>
            <w:r>
              <w:rPr>
                <w:rFonts w:hint="eastAsia" w:ascii="Times New Roman" w:hAnsi="Times New Roman" w:eastAsia="仿宋_GB2312"/>
                <w:color w:val="000000"/>
                <w:kern w:val="0"/>
                <w:sz w:val="24"/>
                <w:szCs w:val="24"/>
              </w:rPr>
              <w:t>等</w:t>
            </w:r>
            <w:r>
              <w:rPr>
                <w:rFonts w:ascii="Times New Roman" w:hAnsi="Times New Roman" w:eastAsia="仿宋_GB2312"/>
                <w:color w:val="000000"/>
                <w:kern w:val="0"/>
                <w:sz w:val="24"/>
                <w:szCs w:val="24"/>
              </w:rPr>
              <w:t>已</w:t>
            </w:r>
            <w:r>
              <w:rPr>
                <w:rFonts w:hint="eastAsia" w:ascii="Times New Roman" w:hAnsi="Times New Roman" w:eastAsia="仿宋_GB2312"/>
                <w:color w:val="000000"/>
                <w:kern w:val="0"/>
                <w:sz w:val="24"/>
                <w:szCs w:val="24"/>
              </w:rPr>
              <w:t>全部搬离。本项目除依托</w:t>
            </w:r>
            <w:r>
              <w:rPr>
                <w:rFonts w:ascii="Times New Roman" w:hAnsi="Times New Roman" w:eastAsia="仿宋_GB2312"/>
                <w:color w:val="000000"/>
                <w:kern w:val="0"/>
                <w:sz w:val="24"/>
                <w:szCs w:val="24"/>
              </w:rPr>
              <w:t>现有大楼给排水系统、供电等基础设施</w:t>
            </w:r>
            <w:r>
              <w:rPr>
                <w:rFonts w:hint="eastAsia" w:ascii="Times New Roman" w:hAnsi="Times New Roman" w:eastAsia="仿宋_GB2312"/>
                <w:color w:val="000000"/>
                <w:kern w:val="0"/>
                <w:sz w:val="24"/>
                <w:szCs w:val="24"/>
              </w:rPr>
              <w:t>外，其余设施均为本项目新建。</w:t>
            </w:r>
            <w:r>
              <w:rPr>
                <w:rFonts w:ascii="Times New Roman" w:hAnsi="Times New Roman" w:eastAsia="仿宋_GB2312"/>
                <w:color w:val="000000"/>
                <w:kern w:val="0"/>
                <w:sz w:val="24"/>
                <w:szCs w:val="24"/>
              </w:rPr>
              <w:t>不存在与本项目有关的原有污染情况及主要环境问题。</w:t>
            </w:r>
          </w:p>
          <w:p>
            <w:pPr>
              <w:rPr>
                <w:rFonts w:ascii="Times New Roman" w:hAnsi="Times New Roman" w:eastAsia="仿宋_GB2312"/>
                <w:color w:val="000000"/>
              </w:rPr>
            </w:pPr>
          </w:p>
          <w:p>
            <w:pPr>
              <w:pStyle w:val="2"/>
              <w:rPr>
                <w:rFonts w:ascii="Times New Roman" w:hAnsi="Times New Roman" w:eastAsia="仿宋_GB2312"/>
                <w:color w:val="000000"/>
              </w:rPr>
            </w:pPr>
          </w:p>
          <w:p>
            <w:pPr>
              <w:rPr>
                <w:rFonts w:ascii="Times New Roman" w:hAnsi="Times New Roman" w:eastAsia="仿宋_GB2312"/>
                <w:color w:val="000000"/>
              </w:rPr>
            </w:pPr>
          </w:p>
          <w:p>
            <w:pPr>
              <w:pStyle w:val="2"/>
              <w:rPr>
                <w:rFonts w:ascii="Times New Roman" w:hAnsi="Times New Roman" w:eastAsia="仿宋_GB2312"/>
                <w:color w:val="000000"/>
              </w:rPr>
            </w:pPr>
          </w:p>
          <w:p>
            <w:pPr>
              <w:rPr>
                <w:rFonts w:ascii="Times New Roman" w:hAnsi="Times New Roman" w:eastAsia="仿宋_GB2312"/>
                <w:color w:val="000000"/>
              </w:rPr>
            </w:pPr>
          </w:p>
          <w:p>
            <w:pPr>
              <w:pStyle w:val="248"/>
              <w:ind w:firstLine="0" w:firstLineChars="0"/>
              <w:rPr>
                <w:rFonts w:eastAsia="仿宋_GB2312"/>
                <w:color w:val="000000"/>
              </w:rPr>
            </w:pPr>
          </w:p>
        </w:tc>
      </w:tr>
    </w:tbl>
    <w:p>
      <w:pPr>
        <w:spacing w:line="480" w:lineRule="exact"/>
        <w:rPr>
          <w:rFonts w:ascii="Times New Roman" w:hAnsi="Times New Roman" w:eastAsia="仿宋_GB2312"/>
          <w:color w:val="000000"/>
          <w:sz w:val="24"/>
          <w:szCs w:val="24"/>
        </w:rPr>
        <w:sectPr>
          <w:footerReference r:id="rId5" w:type="first"/>
          <w:headerReference r:id="rId3" w:type="default"/>
          <w:footerReference r:id="rId4" w:type="default"/>
          <w:pgSz w:w="11906" w:h="16838"/>
          <w:pgMar w:top="1440" w:right="1797" w:bottom="1440" w:left="1797" w:header="851" w:footer="992" w:gutter="0"/>
          <w:pgNumType w:start="1"/>
          <w:cols w:space="720" w:num="1"/>
          <w:docGrid w:linePitch="312" w:charSpace="0"/>
        </w:sectPr>
      </w:pP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二、建设项目所在地自然环境简况</w:t>
      </w:r>
    </w:p>
    <w:tbl>
      <w:tblPr>
        <w:tblStyle w:val="3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1" w:hRule="atLeast"/>
          <w:jc w:val="center"/>
        </w:trPr>
        <w:tc>
          <w:tcPr>
            <w:tcW w:w="8529" w:type="dxa"/>
          </w:tcPr>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1、自然环境简况（地形、地貌、地质、气候、气象、水文、植被、生物多样性等）：</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（1）地理位置</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南京市地处长江中下游平原东部苏皖两省交界处，江苏省西南部。东距上海市300余公里。介于北纬31°14′～32°37′，东经118°22′～119°14′之间。东邻镇江市，西邻安徽省马鞍山市、芜湖市，南接安徽宣城市，北连扬州市。地跨长江两岸，南北最大纵距140余公里，东西最大横距80余公里，辖区总面积6582.31平方千米。</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（2）地形、地貌、地质</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南京境内山峦起伏，河湖纵横，海拔20～25米。长江横卧城北，秦淮蜿蜒城南，钟山盘绕在东，清凉山雄踞于西，有龙蟠虎踞之势，历来为兵家必争之地。南面的固城湖、石臼湖、秦淮河，北面的滁河，城内的玄武湖等，构成丰富的水系。四周群山环抱，有紫金山、牛首山、幕府山、栖霞山、汤山、青龙山、黄龙山、方山、祖堂山、云台山、老山、灵岩山、茅山等，另有富贵山、九华山、北极阁山、清凉山、狮子山、鸡笼山等聚散于市内，形成了山多水多丘陵多的地貌特征。</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南京市平面位置南北长、东西窄，成正南北向。南北直线距离150公里，中部东西宽50～70公里，南北两端东西宽约30公里。南面是低山、岗地、河谷平原、滨湖平原和沿江河地等地形单元构成的地貌综合体。</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（3）气候、气象</w:t>
            </w:r>
          </w:p>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南京市属北亚热带湿润气候带和季风环流的海洋性气候区，季风显著，冬冷夏热，四季分明，日照充足，水资源充沛。长江横贯东西，江岸线长达81.2公里(含八卦洲环江岸线)。气候温和，冬夏较长，春秋较短，日照充足，四季分明，雨水充沛，冬无严寒，夏无酷暑，气候十分宜人。全年降水量分布不均匀，尤其在春夏之交的5月底至6月，由于“极峰”移至长江流域一线而多“梅雨”。常年主导风向为东北风，年平均风速3.6m/s；年平均相对湿度77%；年日照时间1987-2170小时；年平均降水量1106mm；无霜期237日；年平均温度15.4°C。其主要气象气候特征见下表2-1。</w:t>
            </w:r>
          </w:p>
          <w:p>
            <w:pPr>
              <w:adjustRightInd w:val="0"/>
              <w:snapToGrid w:val="0"/>
              <w:jc w:val="center"/>
              <w:rPr>
                <w:rFonts w:ascii="Times New Roman" w:hAnsi="Times New Roman" w:eastAsia="仿宋_GB2312"/>
                <w:b/>
                <w:szCs w:val="20"/>
              </w:rPr>
            </w:pPr>
            <w:r>
              <w:rPr>
                <w:rFonts w:ascii="Times New Roman" w:hAnsi="Times New Roman" w:eastAsia="仿宋_GB2312"/>
                <w:b/>
                <w:szCs w:val="20"/>
              </w:rPr>
              <w:t>表2-1  主要气象气候特征</w:t>
            </w:r>
          </w:p>
          <w:tbl>
            <w:tblPr>
              <w:tblStyle w:val="38"/>
              <w:tblW w:w="91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094"/>
              <w:gridCol w:w="3289"/>
              <w:gridCol w:w="27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tcBorders>
                    <w:top w:val="single" w:color="auto" w:sz="12" w:space="0"/>
                    <w:bottom w:val="single" w:color="auto" w:sz="4" w:space="0"/>
                  </w:tcBorders>
                  <w:vAlign w:val="center"/>
                </w:tcPr>
                <w:p>
                  <w:pPr>
                    <w:jc w:val="center"/>
                    <w:rPr>
                      <w:rFonts w:ascii="Times New Roman" w:hAnsi="Times New Roman" w:eastAsia="仿宋_GB2312"/>
                      <w:b/>
                      <w:szCs w:val="21"/>
                    </w:rPr>
                  </w:pPr>
                  <w:r>
                    <w:rPr>
                      <w:rFonts w:ascii="Times New Roman" w:hAnsi="Times New Roman" w:eastAsia="仿宋_GB2312"/>
                      <w:b/>
                      <w:szCs w:val="21"/>
                    </w:rPr>
                    <w:t>编号</w:t>
                  </w:r>
                </w:p>
              </w:tc>
              <w:tc>
                <w:tcPr>
                  <w:tcW w:w="5383" w:type="dxa"/>
                  <w:gridSpan w:val="2"/>
                  <w:tcBorders>
                    <w:top w:val="single" w:color="auto" w:sz="12" w:space="0"/>
                    <w:bottom w:val="single" w:color="auto" w:sz="4" w:space="0"/>
                  </w:tcBorders>
                  <w:vAlign w:val="center"/>
                </w:tcPr>
                <w:p>
                  <w:pPr>
                    <w:jc w:val="center"/>
                    <w:rPr>
                      <w:rFonts w:ascii="Times New Roman" w:hAnsi="Times New Roman" w:eastAsia="仿宋_GB2312"/>
                      <w:b/>
                      <w:szCs w:val="21"/>
                    </w:rPr>
                  </w:pPr>
                  <w:r>
                    <w:rPr>
                      <w:rFonts w:ascii="Times New Roman" w:hAnsi="Times New Roman" w:eastAsia="仿宋_GB2312"/>
                      <w:b/>
                      <w:szCs w:val="21"/>
                    </w:rPr>
                    <w:t>项目</w:t>
                  </w:r>
                </w:p>
              </w:tc>
              <w:tc>
                <w:tcPr>
                  <w:tcW w:w="2778" w:type="dxa"/>
                  <w:tcBorders>
                    <w:top w:val="single" w:color="auto" w:sz="12" w:space="0"/>
                    <w:bottom w:val="single" w:color="auto" w:sz="4" w:space="0"/>
                  </w:tcBorders>
                  <w:vAlign w:val="center"/>
                </w:tcPr>
                <w:p>
                  <w:pPr>
                    <w:rPr>
                      <w:rFonts w:ascii="Times New Roman" w:hAnsi="Times New Roman" w:eastAsia="仿宋_GB2312"/>
                      <w:b/>
                      <w:szCs w:val="21"/>
                    </w:rPr>
                  </w:pPr>
                  <w:r>
                    <w:rPr>
                      <w:rFonts w:ascii="Times New Roman" w:hAnsi="Times New Roman" w:eastAsia="仿宋_GB2312"/>
                      <w:b/>
                      <w:szCs w:val="21"/>
                    </w:rPr>
                    <w:t>数值及单位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restart"/>
                  <w:tcBorders>
                    <w:top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1</w:t>
                  </w:r>
                </w:p>
              </w:tc>
              <w:tc>
                <w:tcPr>
                  <w:tcW w:w="2094" w:type="dxa"/>
                  <w:vMerge w:val="restart"/>
                  <w:tcBorders>
                    <w:top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气温</w:t>
                  </w:r>
                </w:p>
              </w:tc>
              <w:tc>
                <w:tcPr>
                  <w:tcW w:w="3289" w:type="dxa"/>
                  <w:tcBorders>
                    <w:top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年平均气温</w:t>
                  </w:r>
                </w:p>
              </w:tc>
              <w:tc>
                <w:tcPr>
                  <w:tcW w:w="2778" w:type="dxa"/>
                  <w:tcBorders>
                    <w:top w:val="single" w:color="auto" w:sz="4" w:space="0"/>
                  </w:tcBorders>
                  <w:vAlign w:val="center"/>
                </w:tcPr>
                <w:p>
                  <w:pPr>
                    <w:ind w:firstLine="420" w:firstLineChars="200"/>
                    <w:rPr>
                      <w:rFonts w:ascii="Times New Roman" w:hAnsi="Times New Roman" w:eastAsia="仿宋_GB2312"/>
                      <w:szCs w:val="21"/>
                    </w:rPr>
                  </w:pPr>
                  <w:r>
                    <w:rPr>
                      <w:rFonts w:ascii="Times New Roman" w:hAnsi="Times New Roman" w:eastAsia="仿宋_GB2312"/>
                      <w:szCs w:val="21"/>
                    </w:rPr>
                    <w:t>15.4℃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continue"/>
                  <w:vAlign w:val="center"/>
                </w:tcPr>
                <w:p>
                  <w:pPr>
                    <w:jc w:val="center"/>
                    <w:rPr>
                      <w:rFonts w:ascii="Times New Roman" w:hAnsi="Times New Roman" w:eastAsia="仿宋_GB2312"/>
                      <w:szCs w:val="21"/>
                    </w:rPr>
                  </w:pPr>
                </w:p>
              </w:tc>
              <w:tc>
                <w:tcPr>
                  <w:tcW w:w="2094" w:type="dxa"/>
                  <w:vMerge w:val="continue"/>
                  <w:vAlign w:val="center"/>
                </w:tcPr>
                <w:p>
                  <w:pPr>
                    <w:jc w:val="center"/>
                    <w:rPr>
                      <w:rFonts w:ascii="Times New Roman" w:hAnsi="Times New Roman" w:eastAsia="仿宋_GB2312"/>
                      <w:szCs w:val="21"/>
                    </w:rPr>
                  </w:pP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极端最高温度</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continue"/>
                  <w:vAlign w:val="center"/>
                </w:tcPr>
                <w:p>
                  <w:pPr>
                    <w:jc w:val="center"/>
                    <w:rPr>
                      <w:rFonts w:ascii="Times New Roman" w:hAnsi="Times New Roman" w:eastAsia="仿宋_GB2312"/>
                      <w:szCs w:val="21"/>
                    </w:rPr>
                  </w:pPr>
                </w:p>
              </w:tc>
              <w:tc>
                <w:tcPr>
                  <w:tcW w:w="2094" w:type="dxa"/>
                  <w:vMerge w:val="continue"/>
                  <w:vAlign w:val="center"/>
                </w:tcPr>
                <w:p>
                  <w:pPr>
                    <w:jc w:val="center"/>
                    <w:rPr>
                      <w:rFonts w:ascii="Times New Roman" w:hAnsi="Times New Roman" w:eastAsia="仿宋_GB2312"/>
                      <w:szCs w:val="21"/>
                    </w:rPr>
                  </w:pP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极端最低温度</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Align w:val="center"/>
                </w:tcPr>
                <w:p>
                  <w:pPr>
                    <w:jc w:val="center"/>
                    <w:rPr>
                      <w:rFonts w:ascii="Times New Roman" w:hAnsi="Times New Roman" w:eastAsia="仿宋_GB2312"/>
                      <w:szCs w:val="21"/>
                    </w:rPr>
                  </w:pPr>
                  <w:r>
                    <w:rPr>
                      <w:rFonts w:ascii="Times New Roman" w:hAnsi="Times New Roman" w:eastAsia="仿宋_GB2312"/>
                      <w:szCs w:val="21"/>
                    </w:rPr>
                    <w:t>2</w:t>
                  </w:r>
                </w:p>
              </w:tc>
              <w:tc>
                <w:tcPr>
                  <w:tcW w:w="2094" w:type="dxa"/>
                  <w:vAlign w:val="center"/>
                </w:tcPr>
                <w:p>
                  <w:pPr>
                    <w:jc w:val="center"/>
                    <w:rPr>
                      <w:rFonts w:ascii="Times New Roman" w:hAnsi="Times New Roman" w:eastAsia="仿宋_GB2312"/>
                      <w:szCs w:val="21"/>
                    </w:rPr>
                  </w:pPr>
                  <w:r>
                    <w:rPr>
                      <w:rFonts w:ascii="Times New Roman" w:hAnsi="Times New Roman" w:eastAsia="仿宋_GB2312"/>
                      <w:szCs w:val="21"/>
                    </w:rPr>
                    <w:t>风速</w:t>
                  </w: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年平均风速</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3.6 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Align w:val="center"/>
                </w:tcPr>
                <w:p>
                  <w:pPr>
                    <w:jc w:val="center"/>
                    <w:rPr>
                      <w:rFonts w:ascii="Times New Roman" w:hAnsi="Times New Roman" w:eastAsia="仿宋_GB2312"/>
                      <w:szCs w:val="21"/>
                    </w:rPr>
                  </w:pPr>
                  <w:r>
                    <w:rPr>
                      <w:rFonts w:ascii="Times New Roman" w:hAnsi="Times New Roman" w:eastAsia="仿宋_GB2312"/>
                      <w:szCs w:val="21"/>
                    </w:rPr>
                    <w:t>3</w:t>
                  </w:r>
                </w:p>
              </w:tc>
              <w:tc>
                <w:tcPr>
                  <w:tcW w:w="2094" w:type="dxa"/>
                  <w:vAlign w:val="center"/>
                </w:tcPr>
                <w:p>
                  <w:pPr>
                    <w:jc w:val="center"/>
                    <w:rPr>
                      <w:rFonts w:ascii="Times New Roman" w:hAnsi="Times New Roman" w:eastAsia="仿宋_GB2312"/>
                      <w:szCs w:val="21"/>
                    </w:rPr>
                  </w:pPr>
                  <w:r>
                    <w:rPr>
                      <w:rFonts w:ascii="Times New Roman" w:hAnsi="Times New Roman" w:eastAsia="仿宋_GB2312"/>
                      <w:szCs w:val="21"/>
                    </w:rPr>
                    <w:t>气压</w:t>
                  </w: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年平均大气压</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101.6 kPa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restart"/>
                  <w:vAlign w:val="center"/>
                </w:tcPr>
                <w:p>
                  <w:pPr>
                    <w:jc w:val="center"/>
                    <w:rPr>
                      <w:rFonts w:ascii="Times New Roman" w:hAnsi="Times New Roman" w:eastAsia="仿宋_GB2312"/>
                      <w:szCs w:val="21"/>
                    </w:rPr>
                  </w:pPr>
                  <w:r>
                    <w:rPr>
                      <w:rFonts w:ascii="Times New Roman" w:hAnsi="Times New Roman" w:eastAsia="仿宋_GB2312"/>
                      <w:szCs w:val="21"/>
                    </w:rPr>
                    <w:t>4</w:t>
                  </w:r>
                </w:p>
              </w:tc>
              <w:tc>
                <w:tcPr>
                  <w:tcW w:w="2094" w:type="dxa"/>
                  <w:vMerge w:val="restart"/>
                  <w:vAlign w:val="center"/>
                </w:tcPr>
                <w:p>
                  <w:pPr>
                    <w:jc w:val="center"/>
                    <w:rPr>
                      <w:rFonts w:ascii="Times New Roman" w:hAnsi="Times New Roman" w:eastAsia="仿宋_GB2312"/>
                      <w:szCs w:val="21"/>
                    </w:rPr>
                  </w:pPr>
                  <w:r>
                    <w:rPr>
                      <w:rFonts w:ascii="Times New Roman" w:hAnsi="Times New Roman" w:eastAsia="仿宋_GB2312"/>
                      <w:szCs w:val="21"/>
                    </w:rPr>
                    <w:t>湿度</w:t>
                  </w: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年平均相对湿度</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continue"/>
                  <w:vAlign w:val="center"/>
                </w:tcPr>
                <w:p>
                  <w:pPr>
                    <w:jc w:val="center"/>
                    <w:rPr>
                      <w:rFonts w:ascii="Times New Roman" w:hAnsi="Times New Roman" w:eastAsia="仿宋_GB2312"/>
                      <w:szCs w:val="21"/>
                    </w:rPr>
                  </w:pPr>
                </w:p>
              </w:tc>
              <w:tc>
                <w:tcPr>
                  <w:tcW w:w="2094" w:type="dxa"/>
                  <w:vMerge w:val="continue"/>
                  <w:vAlign w:val="center"/>
                </w:tcPr>
                <w:p>
                  <w:pPr>
                    <w:jc w:val="center"/>
                    <w:rPr>
                      <w:rFonts w:ascii="Times New Roman" w:hAnsi="Times New Roman" w:eastAsia="仿宋_GB2312"/>
                      <w:szCs w:val="21"/>
                    </w:rPr>
                  </w:pP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最冷月平均湿度</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continue"/>
                  <w:vAlign w:val="center"/>
                </w:tcPr>
                <w:p>
                  <w:pPr>
                    <w:jc w:val="center"/>
                    <w:rPr>
                      <w:rFonts w:ascii="Times New Roman" w:hAnsi="Times New Roman" w:eastAsia="仿宋_GB2312"/>
                      <w:szCs w:val="21"/>
                    </w:rPr>
                  </w:pPr>
                </w:p>
              </w:tc>
              <w:tc>
                <w:tcPr>
                  <w:tcW w:w="2094" w:type="dxa"/>
                  <w:vMerge w:val="continue"/>
                  <w:vAlign w:val="center"/>
                </w:tcPr>
                <w:p>
                  <w:pPr>
                    <w:jc w:val="center"/>
                    <w:rPr>
                      <w:rFonts w:ascii="Times New Roman" w:hAnsi="Times New Roman" w:eastAsia="仿宋_GB2312"/>
                      <w:szCs w:val="21"/>
                    </w:rPr>
                  </w:pP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最热月平均湿度</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trPr>
              <w:tc>
                <w:tcPr>
                  <w:tcW w:w="1025" w:type="dxa"/>
                  <w:vMerge w:val="restart"/>
                  <w:vAlign w:val="center"/>
                </w:tcPr>
                <w:p>
                  <w:pPr>
                    <w:jc w:val="center"/>
                    <w:rPr>
                      <w:rFonts w:ascii="Times New Roman" w:hAnsi="Times New Roman" w:eastAsia="仿宋_GB2312"/>
                      <w:szCs w:val="21"/>
                    </w:rPr>
                  </w:pPr>
                  <w:r>
                    <w:rPr>
                      <w:rFonts w:ascii="Times New Roman" w:hAnsi="Times New Roman" w:eastAsia="仿宋_GB2312"/>
                      <w:szCs w:val="21"/>
                    </w:rPr>
                    <w:t>5</w:t>
                  </w:r>
                </w:p>
              </w:tc>
              <w:tc>
                <w:tcPr>
                  <w:tcW w:w="2094" w:type="dxa"/>
                  <w:vMerge w:val="restart"/>
                  <w:vAlign w:val="center"/>
                </w:tcPr>
                <w:p>
                  <w:pPr>
                    <w:jc w:val="center"/>
                    <w:rPr>
                      <w:rFonts w:ascii="Times New Roman" w:hAnsi="Times New Roman" w:eastAsia="仿宋_GB2312"/>
                      <w:szCs w:val="21"/>
                    </w:rPr>
                  </w:pPr>
                  <w:r>
                    <w:rPr>
                      <w:rFonts w:ascii="Times New Roman" w:hAnsi="Times New Roman" w:eastAsia="仿宋_GB2312"/>
                      <w:szCs w:val="21"/>
                    </w:rPr>
                    <w:t>降雨量</w:t>
                  </w: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年平均降水量</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1106mm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Merge w:val="continue"/>
                  <w:vAlign w:val="center"/>
                </w:tcPr>
                <w:p>
                  <w:pPr>
                    <w:jc w:val="center"/>
                    <w:rPr>
                      <w:rFonts w:ascii="Times New Roman" w:hAnsi="Times New Roman" w:eastAsia="仿宋_GB2312"/>
                      <w:szCs w:val="21"/>
                    </w:rPr>
                  </w:pPr>
                </w:p>
              </w:tc>
              <w:tc>
                <w:tcPr>
                  <w:tcW w:w="2094" w:type="dxa"/>
                  <w:vMerge w:val="continue"/>
                  <w:vAlign w:val="center"/>
                </w:tcPr>
                <w:p>
                  <w:pPr>
                    <w:jc w:val="center"/>
                    <w:rPr>
                      <w:rFonts w:ascii="Times New Roman" w:hAnsi="Times New Roman" w:eastAsia="仿宋_GB2312"/>
                      <w:szCs w:val="21"/>
                    </w:rPr>
                  </w:pP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日最大降水量</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245mm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vAlign w:val="center"/>
                </w:tcPr>
                <w:p>
                  <w:pPr>
                    <w:jc w:val="center"/>
                    <w:rPr>
                      <w:rFonts w:ascii="Times New Roman" w:hAnsi="Times New Roman" w:eastAsia="仿宋_GB2312"/>
                      <w:szCs w:val="21"/>
                    </w:rPr>
                  </w:pPr>
                  <w:r>
                    <w:rPr>
                      <w:rFonts w:ascii="Times New Roman" w:hAnsi="Times New Roman" w:eastAsia="仿宋_GB2312"/>
                      <w:szCs w:val="21"/>
                    </w:rPr>
                    <w:t>6</w:t>
                  </w:r>
                </w:p>
              </w:tc>
              <w:tc>
                <w:tcPr>
                  <w:tcW w:w="2094" w:type="dxa"/>
                  <w:vAlign w:val="center"/>
                </w:tcPr>
                <w:p>
                  <w:pPr>
                    <w:jc w:val="center"/>
                    <w:rPr>
                      <w:rFonts w:ascii="Times New Roman" w:hAnsi="Times New Roman" w:eastAsia="仿宋_GB2312"/>
                      <w:szCs w:val="21"/>
                    </w:rPr>
                  </w:pPr>
                  <w:r>
                    <w:rPr>
                      <w:rFonts w:ascii="Times New Roman" w:hAnsi="Times New Roman" w:eastAsia="仿宋_GB2312"/>
                      <w:szCs w:val="21"/>
                    </w:rPr>
                    <w:t>降雪量</w:t>
                  </w:r>
                </w:p>
              </w:tc>
              <w:tc>
                <w:tcPr>
                  <w:tcW w:w="3289" w:type="dxa"/>
                  <w:vAlign w:val="center"/>
                </w:tcPr>
                <w:p>
                  <w:pPr>
                    <w:jc w:val="center"/>
                    <w:rPr>
                      <w:rFonts w:ascii="Times New Roman" w:hAnsi="Times New Roman" w:eastAsia="仿宋_GB2312"/>
                      <w:szCs w:val="21"/>
                    </w:rPr>
                  </w:pPr>
                  <w:r>
                    <w:rPr>
                      <w:rFonts w:ascii="Times New Roman" w:hAnsi="Times New Roman" w:eastAsia="仿宋_GB2312"/>
                      <w:szCs w:val="21"/>
                    </w:rPr>
                    <w:t>最大积雪深度</w:t>
                  </w:r>
                </w:p>
              </w:tc>
              <w:tc>
                <w:tcPr>
                  <w:tcW w:w="2778" w:type="dxa"/>
                  <w:vAlign w:val="center"/>
                </w:tcPr>
                <w:p>
                  <w:pPr>
                    <w:ind w:firstLine="420" w:firstLineChars="200"/>
                    <w:rPr>
                      <w:rFonts w:ascii="Times New Roman" w:hAnsi="Times New Roman" w:eastAsia="仿宋_GB2312"/>
                      <w:szCs w:val="21"/>
                    </w:rPr>
                  </w:pPr>
                  <w:r>
                    <w:rPr>
                      <w:rFonts w:ascii="Times New Roman" w:hAnsi="Times New Roman" w:eastAsia="仿宋_GB2312"/>
                      <w:szCs w:val="21"/>
                    </w:rPr>
                    <w:t>51cm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tcBorders>
                    <w:bottom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7</w:t>
                  </w:r>
                </w:p>
              </w:tc>
              <w:tc>
                <w:tcPr>
                  <w:tcW w:w="2094" w:type="dxa"/>
                  <w:tcBorders>
                    <w:bottom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冻土深度</w:t>
                  </w:r>
                </w:p>
              </w:tc>
              <w:tc>
                <w:tcPr>
                  <w:tcW w:w="3289" w:type="dxa"/>
                  <w:tcBorders>
                    <w:bottom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最大冻土深度</w:t>
                  </w:r>
                </w:p>
              </w:tc>
              <w:tc>
                <w:tcPr>
                  <w:tcW w:w="2778" w:type="dxa"/>
                  <w:tcBorders>
                    <w:bottom w:val="single" w:color="auto" w:sz="4" w:space="0"/>
                  </w:tcBorders>
                  <w:vAlign w:val="center"/>
                </w:tcPr>
                <w:p>
                  <w:pPr>
                    <w:ind w:firstLine="420" w:firstLineChars="200"/>
                    <w:rPr>
                      <w:rFonts w:ascii="Times New Roman" w:hAnsi="Times New Roman" w:eastAsia="仿宋_GB2312"/>
                      <w:szCs w:val="21"/>
                    </w:rPr>
                  </w:pPr>
                  <w:r>
                    <w:rPr>
                      <w:rFonts w:ascii="Times New Roman" w:hAnsi="Times New Roman" w:eastAsia="仿宋_GB2312"/>
                      <w:szCs w:val="21"/>
                    </w:rPr>
                    <w:t>-9cm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5" w:type="dxa"/>
                  <w:tcBorders>
                    <w:bottom w:val="single" w:color="auto" w:sz="12" w:space="0"/>
                  </w:tcBorders>
                  <w:vAlign w:val="center"/>
                </w:tcPr>
                <w:p>
                  <w:pPr>
                    <w:jc w:val="center"/>
                    <w:rPr>
                      <w:rFonts w:ascii="Times New Roman" w:hAnsi="Times New Roman" w:eastAsia="仿宋_GB2312"/>
                      <w:szCs w:val="21"/>
                    </w:rPr>
                  </w:pPr>
                  <w:r>
                    <w:rPr>
                      <w:rFonts w:ascii="Times New Roman" w:hAnsi="Times New Roman" w:eastAsia="仿宋_GB2312"/>
                      <w:szCs w:val="21"/>
                    </w:rPr>
                    <w:t>8</w:t>
                  </w:r>
                </w:p>
              </w:tc>
              <w:tc>
                <w:tcPr>
                  <w:tcW w:w="2094" w:type="dxa"/>
                  <w:tcBorders>
                    <w:bottom w:val="single" w:color="auto" w:sz="12" w:space="0"/>
                  </w:tcBorders>
                  <w:vAlign w:val="center"/>
                </w:tcPr>
                <w:p>
                  <w:pPr>
                    <w:jc w:val="center"/>
                    <w:rPr>
                      <w:rFonts w:ascii="Times New Roman" w:hAnsi="Times New Roman" w:eastAsia="仿宋_GB2312"/>
                      <w:szCs w:val="21"/>
                    </w:rPr>
                  </w:pPr>
                  <w:r>
                    <w:rPr>
                      <w:rFonts w:ascii="Times New Roman" w:hAnsi="Times New Roman" w:eastAsia="仿宋_GB2312"/>
                      <w:szCs w:val="21"/>
                    </w:rPr>
                    <w:t>风向和频率</w:t>
                  </w:r>
                </w:p>
              </w:tc>
              <w:tc>
                <w:tcPr>
                  <w:tcW w:w="3289" w:type="dxa"/>
                  <w:tcBorders>
                    <w:bottom w:val="single" w:color="auto" w:sz="12" w:space="0"/>
                  </w:tcBorders>
                  <w:vAlign w:val="center"/>
                </w:tcPr>
                <w:p>
                  <w:pPr>
                    <w:jc w:val="center"/>
                    <w:rPr>
                      <w:rFonts w:ascii="Times New Roman" w:hAnsi="Times New Roman" w:eastAsia="仿宋_GB2312"/>
                      <w:szCs w:val="21"/>
                    </w:rPr>
                  </w:pPr>
                  <w:r>
                    <w:rPr>
                      <w:rFonts w:ascii="Times New Roman" w:hAnsi="Times New Roman" w:eastAsia="仿宋_GB2312"/>
                      <w:szCs w:val="21"/>
                    </w:rPr>
                    <w:t>年主导风向和频率</w:t>
                  </w:r>
                </w:p>
              </w:tc>
              <w:tc>
                <w:tcPr>
                  <w:tcW w:w="2778" w:type="dxa"/>
                  <w:tcBorders>
                    <w:bottom w:val="single" w:color="auto" w:sz="12" w:space="0"/>
                  </w:tcBorders>
                  <w:vAlign w:val="center"/>
                </w:tcPr>
                <w:p>
                  <w:pPr>
                    <w:ind w:firstLine="210" w:firstLineChars="100"/>
                    <w:rPr>
                      <w:rFonts w:ascii="Times New Roman" w:hAnsi="Times New Roman" w:eastAsia="仿宋_GB2312"/>
                      <w:szCs w:val="21"/>
                    </w:rPr>
                  </w:pPr>
                  <w:r>
                    <w:rPr>
                      <w:rFonts w:ascii="Times New Roman" w:hAnsi="Times New Roman" w:eastAsia="仿宋_GB2312"/>
                      <w:szCs w:val="21"/>
                    </w:rPr>
                    <w:t>EEN 14.77%</w:t>
                  </w:r>
                </w:p>
              </w:tc>
            </w:tr>
          </w:tbl>
          <w:p>
            <w:pPr>
              <w:snapToGrid w:val="0"/>
              <w:spacing w:line="500" w:lineRule="exact"/>
              <w:ind w:firstLine="482"/>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（4）水文、水系</w:t>
            </w:r>
          </w:p>
          <w:p>
            <w:pPr>
              <w:spacing w:line="500" w:lineRule="exact"/>
              <w:ind w:firstLine="482"/>
              <w:rPr>
                <w:rFonts w:ascii="Times New Roman" w:hAnsi="Times New Roman" w:eastAsia="仿宋_GB2312"/>
                <w:color w:val="000000"/>
                <w:sz w:val="24"/>
                <w:szCs w:val="24"/>
              </w:rPr>
            </w:pPr>
            <w:r>
              <w:rPr>
                <w:rFonts w:ascii="Times New Roman" w:hAnsi="Times New Roman" w:eastAsia="仿宋_GB2312"/>
                <w:color w:val="000000"/>
                <w:sz w:val="24"/>
                <w:szCs w:val="24"/>
              </w:rPr>
              <w:t>南京城内主要河流有长江和秦淮河。长江南京段从江宁铜井镇南开始，至江宁营防乡东为止，境内长约95公里。秦淮河全长103公里，到南京武定门外分两股，一股为干流，称外秦淮河，绕城经中华门、水西门、定淮门外由三汊河注入长江；另一股称内秦淮河，由通济门东水关入城，在淮清桥又分为南北两支，南支为“十里秦淮”，经夫子庙文德桥至水西门西水关出城，与干流汇集，北支即古运渎、经内桥至张公桥出涵洞口入干流。南京市北部有滁河，干流全长110公里，河道弯曲，集水面积7900平方公里，南部有淳溧运河和天生桥河。</w:t>
            </w:r>
          </w:p>
          <w:p>
            <w:pPr>
              <w:spacing w:line="500" w:lineRule="exact"/>
              <w:ind w:firstLine="482"/>
              <w:rPr>
                <w:rFonts w:ascii="Times New Roman" w:hAnsi="Times New Roman" w:eastAsia="仿宋_GB2312"/>
                <w:color w:val="000000"/>
                <w:sz w:val="24"/>
                <w:szCs w:val="24"/>
              </w:rPr>
            </w:pPr>
            <w:r>
              <w:rPr>
                <w:rFonts w:ascii="Times New Roman" w:hAnsi="Times New Roman" w:eastAsia="仿宋_GB2312"/>
                <w:color w:val="000000"/>
                <w:sz w:val="24"/>
                <w:szCs w:val="24"/>
              </w:rPr>
              <w:t>南京市区湖泊主要有玄武湖和莫愁湖，湖泊水面积分别为3.7平方公里和0.37平方公里。城市南部有石臼湖和固城湖，湖泊水面积分别为201平方公里和24.3平方公里。</w:t>
            </w:r>
          </w:p>
          <w:p>
            <w:pPr>
              <w:spacing w:line="500" w:lineRule="exact"/>
              <w:ind w:firstLine="482"/>
              <w:rPr>
                <w:rFonts w:ascii="Times New Roman" w:hAnsi="Times New Roman" w:eastAsia="仿宋_GB2312"/>
                <w:color w:val="000000"/>
                <w:sz w:val="24"/>
                <w:szCs w:val="24"/>
              </w:rPr>
            </w:pPr>
            <w:r>
              <w:rPr>
                <w:rFonts w:ascii="Times New Roman" w:hAnsi="Times New Roman" w:eastAsia="仿宋_GB2312"/>
                <w:color w:val="000000"/>
                <w:sz w:val="24"/>
                <w:szCs w:val="24"/>
              </w:rPr>
              <w:t>建设项目所在地附近的水系是长江南京段、秦淮河和莫愁湖。</w:t>
            </w:r>
          </w:p>
          <w:p>
            <w:pPr>
              <w:spacing w:line="500" w:lineRule="exact"/>
              <w:ind w:firstLine="482"/>
              <w:rPr>
                <w:rFonts w:ascii="Times New Roman" w:hAnsi="Times New Roman" w:eastAsia="仿宋_GB2312"/>
                <w:color w:val="000000"/>
                <w:sz w:val="24"/>
                <w:szCs w:val="24"/>
              </w:rPr>
            </w:pPr>
            <w:r>
              <w:rPr>
                <w:rFonts w:ascii="Times New Roman" w:hAnsi="Times New Roman" w:eastAsia="仿宋_GB2312"/>
                <w:color w:val="000000"/>
                <w:sz w:val="24"/>
                <w:szCs w:val="24"/>
              </w:rPr>
              <w:t>（5）生态环境</w:t>
            </w:r>
          </w:p>
          <w:p>
            <w:pPr>
              <w:spacing w:line="500" w:lineRule="exact"/>
              <w:ind w:firstLine="482"/>
              <w:rPr>
                <w:rFonts w:ascii="Times New Roman" w:hAnsi="Times New Roman" w:eastAsia="仿宋_GB2312"/>
                <w:color w:val="000000"/>
                <w:sz w:val="24"/>
                <w:szCs w:val="24"/>
              </w:rPr>
            </w:pPr>
            <w:r>
              <w:rPr>
                <w:rFonts w:hint="eastAsia" w:ascii="宋体" w:hAnsi="宋体" w:cs="宋体"/>
                <w:color w:val="000000"/>
                <w:sz w:val="24"/>
                <w:szCs w:val="24"/>
              </w:rPr>
              <w:t>①</w:t>
            </w:r>
            <w:r>
              <w:rPr>
                <w:rFonts w:ascii="Times New Roman" w:hAnsi="Times New Roman" w:eastAsia="仿宋_GB2312"/>
                <w:color w:val="000000"/>
                <w:sz w:val="24"/>
                <w:szCs w:val="24"/>
              </w:rPr>
              <w:t>陆生生态系统</w:t>
            </w:r>
          </w:p>
          <w:p>
            <w:pPr>
              <w:spacing w:line="500" w:lineRule="exact"/>
              <w:ind w:firstLine="482"/>
              <w:rPr>
                <w:rFonts w:ascii="Times New Roman" w:hAnsi="Times New Roman" w:eastAsia="仿宋_GB2312"/>
                <w:color w:val="000000"/>
                <w:sz w:val="24"/>
                <w:szCs w:val="24"/>
              </w:rPr>
            </w:pPr>
            <w:r>
              <w:rPr>
                <w:rFonts w:ascii="Times New Roman" w:hAnsi="Times New Roman" w:eastAsia="仿宋_GB2312"/>
                <w:color w:val="000000"/>
                <w:sz w:val="24"/>
                <w:szCs w:val="24"/>
              </w:rPr>
              <w:t>评价区域在植物分布区划上属于长江南岸平原丘陵区，自然植被类型主要有低山丘陵的森林植被。山地森林植被类型主要包括针叶林、落地阔叶林、常绿针叶落叶阔叶混交林、竹林、灌丛等，本区域是落叶阔叶林逐步过渡到落叶阔叶、长绿阔叶混交林地区。区域内主要树种有马尾松、麻栎、榆、紫楠、枫香、楝树、糯米椴等。评价区域内无高山，植物的垂直地带性分布不明显，通常山坡下部和沟谷以阔叶林为主，山坡中部以上以针叶林为主；丘陵山地大都分布以黄背草或枯草占优势的草本植被。江宁地区气候温暖湿润，土壤肥沃，植物生长迅速，种类繁多，但人类开发较早，因此该区域的自然陆生生态已基本为人工农业生态所取代。由于土地利用率较高，自然植被己基本消失，绿化种植的树木主要有槐、杉、松、桑、柳、杨等树种。据统计，全区有高等植物143科，1400余种，属国家重点保护的珍稀濒危植物有3种。现有野生植物主要是野生灌木和草丛植物。江宁区的动植群为亚热带林灌、草地、农田动物群，受人类活动影响，野生动物已日趋减少。据不完全统计，全区脊椎动物有290余种，受国家重点保护的珍稀野生动物中主要为中华虎凤蝶。</w:t>
            </w:r>
          </w:p>
          <w:p>
            <w:pPr>
              <w:spacing w:line="500" w:lineRule="exact"/>
              <w:ind w:firstLine="482"/>
              <w:rPr>
                <w:rFonts w:ascii="Times New Roman" w:hAnsi="Times New Roman" w:eastAsia="仿宋_GB2312"/>
                <w:color w:val="000000"/>
                <w:sz w:val="24"/>
                <w:szCs w:val="24"/>
              </w:rPr>
            </w:pPr>
            <w:r>
              <w:rPr>
                <w:rFonts w:hint="eastAsia" w:ascii="宋体" w:hAnsi="宋体" w:cs="宋体"/>
                <w:color w:val="000000"/>
                <w:sz w:val="24"/>
                <w:szCs w:val="24"/>
              </w:rPr>
              <w:t>②</w:t>
            </w:r>
            <w:r>
              <w:rPr>
                <w:rFonts w:ascii="Times New Roman" w:hAnsi="Times New Roman" w:eastAsia="仿宋_GB2312"/>
                <w:color w:val="000000"/>
                <w:sz w:val="24"/>
                <w:szCs w:val="24"/>
              </w:rPr>
              <w:t>水生生态系统</w:t>
            </w:r>
          </w:p>
          <w:p>
            <w:pPr>
              <w:spacing w:line="500" w:lineRule="exact"/>
              <w:ind w:firstLine="482"/>
              <w:rPr>
                <w:rFonts w:ascii="Times New Roman" w:hAnsi="Times New Roman" w:eastAsia="仿宋_GB2312"/>
                <w:color w:val="000000"/>
                <w:sz w:val="24"/>
                <w:szCs w:val="24"/>
              </w:rPr>
            </w:pPr>
            <w:r>
              <w:rPr>
                <w:rFonts w:ascii="Times New Roman" w:hAnsi="Times New Roman" w:eastAsia="仿宋_GB2312"/>
                <w:color w:val="000000"/>
                <w:sz w:val="24"/>
                <w:szCs w:val="24"/>
              </w:rPr>
              <w:t>沿江地区主要的水生植被类型是非地带性植被类型，分布比较零散，繁育不良，但分布范围较广。主要是由挺水植物群落、浮叶植物群落、飘浮植物群落和沉水植物群落组成，如有芦苇、荻、水鳖、菱、藻类等，通常分布在沿江的河道、鱼塘内。水生植被对完善水生生态系统结构、改善水环境质量起着十分重要的作用。主要浮游动物有原生动物、轮虫、枝角类和桡足类四大类约二十多种。主要的底栖动物有环节动物(水栖寡毛类和蛭类)，节肢动物(蟹、虾等)，软体动物(田螺，河蚬和梭螺等)。野生和家养的鱼类有草鱼、青鱼、链鱼、鲤鱼、鲫鱼、黑鱼、白鱼、鳝鱼等几十种。爬行类有龟、甲鱼。</w:t>
            </w:r>
          </w:p>
          <w:p>
            <w:pPr>
              <w:pStyle w:val="2"/>
              <w:rPr>
                <w:rFonts w:ascii="Times New Roman" w:hAnsi="Times New Roman" w:eastAsia="仿宋_GB2312"/>
                <w:color w:val="000000"/>
              </w:rPr>
            </w:pPr>
          </w:p>
          <w:p>
            <w:pPr>
              <w:rPr>
                <w:rFonts w:ascii="Times New Roman" w:hAnsi="Times New Roman" w:eastAsia="仿宋_GB2312"/>
                <w:color w:val="000000"/>
              </w:rPr>
            </w:pPr>
          </w:p>
        </w:tc>
      </w:tr>
    </w:tbl>
    <w:p>
      <w:pPr>
        <w:pStyle w:val="3"/>
        <w:spacing w:before="120" w:beforeLines="50" w:after="120" w:afterLines="50" w:line="48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br w:type="page"/>
      </w:r>
      <w:r>
        <w:rPr>
          <w:rFonts w:ascii="Times New Roman" w:hAnsi="Times New Roman" w:eastAsia="仿宋_GB2312"/>
          <w:color w:val="000000"/>
          <w:spacing w:val="0"/>
          <w:sz w:val="24"/>
          <w:szCs w:val="24"/>
        </w:rPr>
        <w:t>三、环境质量状况</w:t>
      </w:r>
    </w:p>
    <w:tbl>
      <w:tblPr>
        <w:tblStyle w:val="3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jc w:val="center"/>
        </w:trPr>
        <w:tc>
          <w:tcPr>
            <w:tcW w:w="8528" w:type="dxa"/>
          </w:tcPr>
          <w:p>
            <w:pPr>
              <w:pStyle w:val="31"/>
              <w:spacing w:after="0" w:line="50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1、建设项目所在地区域环境质量现状及主要环境问题（环境空气、地面水、地下水、声环境、辐射环境、生态环境等）：</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（1）建设项目所在地区域环境质量现状</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2019年南京市环境状况公报》，全市环境质量稳中向好。环境空气质量有所改善；水环境质量显著提升，城市主要集中式饮用水源地水质持续优良；声环境质量和辐射环境质量保持稳定。建设项目所在区域环境质量状况如下：</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1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①</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大气环境质量现状</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根据南京市大气环境功能区划，项目所在地区为二类区，大气环境质量执行《环境空气质量标准》（GB3095-2012）中的二级标准。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2019年南京市环境状况公报数据显示：建成区环境空气质量达到二级标准的天数为255天，同比减少14天，达标率为69.9%，同比下降3.8个百分点。其中，达到一级标准天数为55天，同比减少9天；未达到二级标准的天数为110天（其中，轻度污染97天，中度污染12天，重度污染1天），主要污染物为O</w:t>
            </w:r>
            <w:r>
              <w:rPr>
                <w:rFonts w:ascii="Times New Roman" w:hAnsi="Times New Roman" w:eastAsia="仿宋_GB2312"/>
                <w:color w:val="000000"/>
                <w:sz w:val="24"/>
                <w:szCs w:val="24"/>
                <w:vertAlign w:val="subscript"/>
              </w:rPr>
              <w:t>3</w:t>
            </w:r>
            <w:r>
              <w:rPr>
                <w:rFonts w:ascii="Times New Roman" w:hAnsi="Times New Roman" w:eastAsia="仿宋_GB2312"/>
                <w:color w:val="000000"/>
                <w:sz w:val="24"/>
                <w:szCs w:val="24"/>
              </w:rPr>
              <w:t>和PM</w:t>
            </w:r>
            <w:r>
              <w:rPr>
                <w:rFonts w:ascii="Times New Roman" w:hAnsi="Times New Roman" w:eastAsia="仿宋_GB2312"/>
                <w:color w:val="000000"/>
                <w:sz w:val="24"/>
                <w:szCs w:val="24"/>
                <w:vertAlign w:val="subscript"/>
              </w:rPr>
              <w:t>2.5</w:t>
            </w:r>
            <w:r>
              <w:rPr>
                <w:rFonts w:ascii="Times New Roman" w:hAnsi="Times New Roman" w:eastAsia="仿宋_GB2312"/>
                <w:color w:val="000000"/>
                <w:sz w:val="24"/>
                <w:szCs w:val="24"/>
              </w:rPr>
              <w:t>。各项污染物指标监测结果：PM</w:t>
            </w:r>
            <w:r>
              <w:rPr>
                <w:rFonts w:ascii="Times New Roman" w:hAnsi="Times New Roman" w:eastAsia="仿宋_GB2312"/>
                <w:color w:val="000000"/>
                <w:sz w:val="24"/>
                <w:szCs w:val="24"/>
                <w:vertAlign w:val="subscript"/>
              </w:rPr>
              <w:t>2.5</w:t>
            </w:r>
            <w:r>
              <w:rPr>
                <w:rFonts w:ascii="Times New Roman" w:hAnsi="Times New Roman" w:eastAsia="仿宋_GB2312"/>
                <w:color w:val="000000"/>
                <w:sz w:val="24"/>
                <w:szCs w:val="24"/>
              </w:rPr>
              <w:t>年均值为40μg/m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，超标0.14倍，下降4.8%；PM</w:t>
            </w:r>
            <w:r>
              <w:rPr>
                <w:rFonts w:ascii="Times New Roman" w:hAnsi="Times New Roman" w:eastAsia="仿宋_GB2312"/>
                <w:color w:val="000000"/>
                <w:sz w:val="24"/>
                <w:szCs w:val="24"/>
                <w:vertAlign w:val="subscript"/>
              </w:rPr>
              <w:t>10</w:t>
            </w:r>
            <w:r>
              <w:rPr>
                <w:rFonts w:ascii="Times New Roman" w:hAnsi="Times New Roman" w:eastAsia="仿宋_GB2312"/>
                <w:color w:val="000000"/>
                <w:sz w:val="24"/>
                <w:szCs w:val="24"/>
              </w:rPr>
              <w:t>年均值为69μg/m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，达标，同比下降2.8%；NO</w:t>
            </w:r>
            <w:r>
              <w:rPr>
                <w:rFonts w:ascii="Times New Roman" w:hAnsi="Times New Roman" w:eastAsia="仿宋_GB2312"/>
                <w:color w:val="000000"/>
                <w:sz w:val="24"/>
                <w:szCs w:val="24"/>
                <w:vertAlign w:val="subscript"/>
              </w:rPr>
              <w:t>2</w:t>
            </w:r>
            <w:r>
              <w:rPr>
                <w:rFonts w:ascii="Times New Roman" w:hAnsi="Times New Roman" w:eastAsia="仿宋_GB2312"/>
                <w:color w:val="000000"/>
                <w:sz w:val="24"/>
                <w:szCs w:val="24"/>
              </w:rPr>
              <w:t>年均值为42μg/m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，超标0.05倍，同比上升5.0%；SO</w:t>
            </w:r>
            <w:r>
              <w:rPr>
                <w:rFonts w:ascii="Times New Roman" w:hAnsi="Times New Roman" w:eastAsia="仿宋_GB2312"/>
                <w:color w:val="000000"/>
                <w:sz w:val="24"/>
                <w:szCs w:val="24"/>
                <w:vertAlign w:val="subscript"/>
              </w:rPr>
              <w:t>2</w:t>
            </w:r>
            <w:r>
              <w:rPr>
                <w:rFonts w:ascii="Times New Roman" w:hAnsi="Times New Roman" w:eastAsia="仿宋_GB2312"/>
                <w:color w:val="000000"/>
                <w:sz w:val="24"/>
                <w:szCs w:val="24"/>
              </w:rPr>
              <w:t>年均值为10μg/m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，达标，同比持平；CO日均浓度第95百分位数为1.3毫克/立方米，达标，同比持平；O</w:t>
            </w:r>
            <w:r>
              <w:rPr>
                <w:rFonts w:ascii="Times New Roman" w:hAnsi="Times New Roman" w:eastAsia="仿宋_GB2312"/>
                <w:color w:val="000000"/>
                <w:sz w:val="24"/>
                <w:szCs w:val="24"/>
                <w:vertAlign w:val="subscript"/>
              </w:rPr>
              <w:t>3</w:t>
            </w:r>
            <w:r>
              <w:rPr>
                <w:rFonts w:ascii="Times New Roman" w:hAnsi="Times New Roman" w:eastAsia="仿宋_GB2312"/>
                <w:color w:val="000000"/>
                <w:sz w:val="24"/>
                <w:szCs w:val="24"/>
              </w:rPr>
              <w:t>日最大8小时值超标天数为69天，超标率为18.9%，同比增加6.3个百分点。</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根据《环境影响评价技术导则 大气环境》（HJ2.2-2018）判定，南京市为环境空气质量不达标区，主要污染物为O</w:t>
            </w:r>
            <w:r>
              <w:rPr>
                <w:rFonts w:ascii="Times New Roman" w:hAnsi="Times New Roman" w:eastAsia="仿宋_GB2312"/>
                <w:color w:val="000000"/>
                <w:sz w:val="24"/>
                <w:szCs w:val="24"/>
                <w:vertAlign w:val="subscript"/>
              </w:rPr>
              <w:t>3</w:t>
            </w:r>
            <w:r>
              <w:rPr>
                <w:rFonts w:ascii="Times New Roman" w:hAnsi="Times New Roman" w:eastAsia="仿宋_GB2312"/>
                <w:color w:val="000000"/>
                <w:sz w:val="24"/>
                <w:szCs w:val="24"/>
              </w:rPr>
              <w:t>和PM</w:t>
            </w:r>
            <w:r>
              <w:rPr>
                <w:rFonts w:ascii="Times New Roman" w:hAnsi="Times New Roman" w:eastAsia="仿宋_GB2312"/>
                <w:color w:val="000000"/>
                <w:sz w:val="24"/>
                <w:szCs w:val="24"/>
                <w:vertAlign w:val="subscript"/>
              </w:rPr>
              <w:t>2.5</w:t>
            </w:r>
            <w:r>
              <w:rPr>
                <w:rFonts w:ascii="Times New Roman" w:hAnsi="Times New Roman" w:eastAsia="仿宋_GB2312"/>
                <w:color w:val="000000"/>
                <w:sz w:val="24"/>
                <w:szCs w:val="24"/>
              </w:rPr>
              <w:t>。通过落实《南京市打赢蓝天保卫战实施方案》、《南京市大气污染防治行动计划》等相关文件的大气污染防治措施，通过“VOCs”专项治理、重点行业整治、交通污染防治、扬尘污染管控、秸秆禁烧等措施，区域大气环境质量状况</w:t>
            </w:r>
            <w:r>
              <w:rPr>
                <w:rFonts w:hint="eastAsia" w:ascii="Times New Roman" w:hAnsi="Times New Roman" w:eastAsia="仿宋_GB2312"/>
                <w:color w:val="000000"/>
                <w:sz w:val="24"/>
                <w:szCs w:val="24"/>
              </w:rPr>
              <w:t>预计</w:t>
            </w:r>
            <w:r>
              <w:rPr>
                <w:rFonts w:ascii="Times New Roman" w:hAnsi="Times New Roman" w:eastAsia="仿宋_GB2312"/>
                <w:color w:val="000000"/>
                <w:sz w:val="24"/>
                <w:szCs w:val="24"/>
              </w:rPr>
              <w:t>可以得到改善。</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2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②</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地表水环境质量现状</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项目纳污水体为长江南京段，根据南京市水环境功能区划，长江南京段为II类水体，水质执行《地表水环境质量标准》（GB3838-2002）II类水质标准。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2019年南京市环境状况公报数据显示：全市水环境质量明显改善，纳入《江苏省“十三五”水环境质量考核目标》的22个地表水断面水质全部达标，水质优良（Ⅲ类及以上）断面比例100%，较上年提升18.2个百分点，无丧失使用功能（劣Ⅴ类）断面。长江南京段干流水质总体状况为优，7个监测断面水质均符合Ⅱ类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3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③</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声环境质量现状</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根据《南京市声环境功能区划分调整方案》（宁政发[2014]34号），项目区域为2类声环境功能区，噪声执行《声环境质量标准》（GB3096-2008）中的2类区标准，</w:t>
            </w:r>
            <w:r>
              <w:rPr>
                <w:rFonts w:hint="eastAsia" w:ascii="Times New Roman" w:hAnsi="Times New Roman" w:eastAsia="仿宋_GB2312"/>
                <w:color w:val="000000"/>
                <w:sz w:val="24"/>
                <w:szCs w:val="24"/>
              </w:rPr>
              <w:t>临凤凰西街次干道建筑以高于三层楼房以上（含三层）的建筑为主，以第一排建筑物面向道路一侧至道路边界线(道路红线)的区域执行《声环境质量标准》（GB3096-2008）中4a类标准。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2021年1月13日至1月14日，江苏省环境科学研究院委托江苏省苏立环境科技有限责任公司对本项目位置及周边敏感目标的声环境质量现状进行补充监测，监测点位情况见附图5，监测结果见表3-1。</w:t>
            </w:r>
          </w:p>
          <w:p>
            <w:pPr>
              <w:jc w:val="center"/>
              <w:rPr>
                <w:rFonts w:ascii="Times New Roman" w:hAnsi="Times New Roman" w:eastAsia="仿宋_GB2312"/>
                <w:b/>
                <w:bCs/>
                <w:kern w:val="0"/>
                <w:sz w:val="24"/>
              </w:rPr>
            </w:pPr>
            <w:r>
              <w:rPr>
                <w:rFonts w:ascii="Times New Roman" w:hAnsi="Times New Roman" w:eastAsia="仿宋_GB2312"/>
                <w:b/>
                <w:bCs/>
                <w:kern w:val="0"/>
                <w:sz w:val="24"/>
              </w:rPr>
              <w:t>表3-1  项目厂界及敏感点声环境质量现状监测结果</w:t>
            </w:r>
          </w:p>
          <w:tbl>
            <w:tblPr>
              <w:tblStyle w:val="3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766"/>
              <w:gridCol w:w="708"/>
              <w:gridCol w:w="709"/>
              <w:gridCol w:w="709"/>
              <w:gridCol w:w="1838"/>
              <w:gridCol w:w="850"/>
              <w:gridCol w:w="706"/>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Merge w:val="restart"/>
                  <w:vAlign w:val="center"/>
                </w:tcPr>
                <w:p>
                  <w:pPr>
                    <w:jc w:val="center"/>
                    <w:rPr>
                      <w:rFonts w:ascii="Times New Roman" w:hAnsi="Times New Roman" w:eastAsia="仿宋_GB2312"/>
                      <w:b/>
                      <w:szCs w:val="21"/>
                    </w:rPr>
                  </w:pPr>
                  <w:r>
                    <w:rPr>
                      <w:rFonts w:ascii="Times New Roman" w:hAnsi="Times New Roman" w:eastAsia="仿宋_GB2312"/>
                      <w:b/>
                      <w:szCs w:val="21"/>
                    </w:rPr>
                    <w:t>监测点位</w:t>
                  </w:r>
                </w:p>
              </w:tc>
              <w:tc>
                <w:tcPr>
                  <w:tcW w:w="2892" w:type="dxa"/>
                  <w:gridSpan w:val="4"/>
                  <w:vAlign w:val="center"/>
                </w:tcPr>
                <w:p>
                  <w:pPr>
                    <w:jc w:val="center"/>
                    <w:rPr>
                      <w:rFonts w:ascii="Times New Roman" w:hAnsi="Times New Roman" w:eastAsia="仿宋_GB2312"/>
                      <w:b/>
                      <w:szCs w:val="21"/>
                    </w:rPr>
                  </w:pPr>
                  <w:r>
                    <w:rPr>
                      <w:rFonts w:ascii="Times New Roman" w:hAnsi="Times New Roman" w:eastAsia="仿宋_GB2312"/>
                      <w:b/>
                      <w:szCs w:val="21"/>
                    </w:rPr>
                    <w:t>监测结果[LeqdB(A)]</w:t>
                  </w:r>
                </w:p>
              </w:tc>
              <w:tc>
                <w:tcPr>
                  <w:tcW w:w="1672" w:type="dxa"/>
                  <w:vMerge w:val="restart"/>
                  <w:vAlign w:val="center"/>
                </w:tcPr>
                <w:p>
                  <w:pPr>
                    <w:jc w:val="center"/>
                    <w:rPr>
                      <w:rFonts w:ascii="Times New Roman" w:hAnsi="Times New Roman" w:eastAsia="仿宋_GB2312"/>
                      <w:b/>
                      <w:szCs w:val="21"/>
                    </w:rPr>
                  </w:pPr>
                  <w:r>
                    <w:rPr>
                      <w:rFonts w:ascii="Times New Roman" w:hAnsi="Times New Roman" w:eastAsia="仿宋_GB2312"/>
                      <w:b/>
                      <w:szCs w:val="21"/>
                    </w:rPr>
                    <w:t>执行标准</w:t>
                  </w:r>
                </w:p>
              </w:tc>
              <w:tc>
                <w:tcPr>
                  <w:tcW w:w="1556" w:type="dxa"/>
                  <w:gridSpan w:val="2"/>
                  <w:vMerge w:val="restart"/>
                  <w:vAlign w:val="center"/>
                </w:tcPr>
                <w:p>
                  <w:pPr>
                    <w:jc w:val="center"/>
                    <w:rPr>
                      <w:rFonts w:ascii="Times New Roman" w:hAnsi="Times New Roman" w:eastAsia="仿宋_GB2312"/>
                      <w:b/>
                      <w:szCs w:val="21"/>
                    </w:rPr>
                  </w:pPr>
                  <w:r>
                    <w:rPr>
                      <w:rFonts w:ascii="Times New Roman" w:hAnsi="Times New Roman" w:eastAsia="仿宋_GB2312"/>
                      <w:b/>
                      <w:szCs w:val="21"/>
                    </w:rPr>
                    <w:t>标准限值</w:t>
                  </w:r>
                </w:p>
              </w:tc>
              <w:tc>
                <w:tcPr>
                  <w:tcW w:w="0" w:type="auto"/>
                  <w:vMerge w:val="restart"/>
                  <w:vAlign w:val="center"/>
                </w:tcPr>
                <w:p>
                  <w:pPr>
                    <w:jc w:val="center"/>
                    <w:rPr>
                      <w:rFonts w:ascii="Times New Roman" w:hAnsi="Times New Roman" w:eastAsia="仿宋_GB2312"/>
                      <w:b/>
                      <w:szCs w:val="21"/>
                    </w:rPr>
                  </w:pPr>
                  <w:r>
                    <w:rPr>
                      <w:rFonts w:ascii="Times New Roman" w:hAnsi="Times New Roman" w:eastAsia="仿宋_GB2312"/>
                      <w:b/>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Merge w:val="continue"/>
                  <w:vAlign w:val="center"/>
                </w:tcPr>
                <w:p>
                  <w:pPr>
                    <w:widowControl/>
                    <w:jc w:val="center"/>
                    <w:rPr>
                      <w:rFonts w:ascii="Times New Roman" w:hAnsi="Times New Roman" w:eastAsia="仿宋_GB2312"/>
                      <w:b/>
                      <w:szCs w:val="21"/>
                    </w:rPr>
                  </w:pPr>
                </w:p>
              </w:tc>
              <w:tc>
                <w:tcPr>
                  <w:tcW w:w="1474" w:type="dxa"/>
                  <w:gridSpan w:val="2"/>
                  <w:vAlign w:val="center"/>
                </w:tcPr>
                <w:p>
                  <w:pPr>
                    <w:jc w:val="center"/>
                    <w:rPr>
                      <w:rFonts w:ascii="Times New Roman" w:hAnsi="Times New Roman" w:eastAsia="仿宋_GB2312"/>
                      <w:b/>
                      <w:szCs w:val="21"/>
                    </w:rPr>
                  </w:pPr>
                  <w:r>
                    <w:rPr>
                      <w:rFonts w:ascii="Times New Roman" w:hAnsi="Times New Roman" w:eastAsia="仿宋_GB2312"/>
                      <w:b/>
                      <w:szCs w:val="21"/>
                    </w:rPr>
                    <w:t>2021年1月13日</w:t>
                  </w:r>
                </w:p>
              </w:tc>
              <w:tc>
                <w:tcPr>
                  <w:tcW w:w="1418" w:type="dxa"/>
                  <w:gridSpan w:val="2"/>
                  <w:vAlign w:val="center"/>
                </w:tcPr>
                <w:p>
                  <w:pPr>
                    <w:jc w:val="center"/>
                    <w:rPr>
                      <w:rFonts w:ascii="Times New Roman" w:hAnsi="Times New Roman" w:eastAsia="仿宋_GB2312"/>
                      <w:b/>
                      <w:szCs w:val="21"/>
                    </w:rPr>
                  </w:pPr>
                  <w:r>
                    <w:rPr>
                      <w:rFonts w:ascii="Times New Roman" w:hAnsi="Times New Roman" w:eastAsia="仿宋_GB2312"/>
                      <w:b/>
                      <w:szCs w:val="21"/>
                    </w:rPr>
                    <w:t>2021年1月14日</w:t>
                  </w:r>
                </w:p>
              </w:tc>
              <w:tc>
                <w:tcPr>
                  <w:tcW w:w="1672" w:type="dxa"/>
                  <w:vMerge w:val="continue"/>
                  <w:vAlign w:val="center"/>
                </w:tcPr>
                <w:p>
                  <w:pPr>
                    <w:jc w:val="center"/>
                    <w:rPr>
                      <w:rFonts w:ascii="Times New Roman" w:hAnsi="Times New Roman" w:eastAsia="仿宋_GB2312"/>
                      <w:b/>
                      <w:szCs w:val="21"/>
                    </w:rPr>
                  </w:pPr>
                </w:p>
              </w:tc>
              <w:tc>
                <w:tcPr>
                  <w:tcW w:w="1556" w:type="dxa"/>
                  <w:gridSpan w:val="2"/>
                  <w:vMerge w:val="continue"/>
                  <w:vAlign w:val="center"/>
                </w:tcPr>
                <w:p>
                  <w:pPr>
                    <w:jc w:val="center"/>
                    <w:rPr>
                      <w:rFonts w:ascii="Times New Roman" w:hAnsi="Times New Roman" w:eastAsia="仿宋_GB2312"/>
                      <w:b/>
                      <w:szCs w:val="21"/>
                    </w:rPr>
                  </w:pPr>
                </w:p>
              </w:tc>
              <w:tc>
                <w:tcPr>
                  <w:tcW w:w="0" w:type="auto"/>
                  <w:vMerge w:val="continue"/>
                </w:tcPr>
                <w:p>
                  <w:pPr>
                    <w:jc w:val="center"/>
                    <w:rPr>
                      <w:rFonts w:ascii="Times New Roman" w:hAnsi="Times New Roman" w:eastAsia="仿宋_GB2312"/>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Merge w:val="continue"/>
                  <w:vAlign w:val="center"/>
                </w:tcPr>
                <w:p>
                  <w:pPr>
                    <w:jc w:val="center"/>
                    <w:rPr>
                      <w:rFonts w:ascii="Times New Roman" w:hAnsi="Times New Roman" w:eastAsia="仿宋_GB2312"/>
                      <w:b/>
                      <w:szCs w:val="21"/>
                    </w:rPr>
                  </w:pPr>
                </w:p>
              </w:tc>
              <w:tc>
                <w:tcPr>
                  <w:tcW w:w="766" w:type="dxa"/>
                  <w:vAlign w:val="center"/>
                </w:tcPr>
                <w:p>
                  <w:pPr>
                    <w:jc w:val="center"/>
                    <w:rPr>
                      <w:rFonts w:ascii="Times New Roman" w:hAnsi="Times New Roman" w:eastAsia="仿宋_GB2312"/>
                      <w:b/>
                      <w:szCs w:val="21"/>
                    </w:rPr>
                  </w:pPr>
                  <w:r>
                    <w:rPr>
                      <w:rFonts w:ascii="Times New Roman" w:hAnsi="Times New Roman" w:eastAsia="仿宋_GB2312"/>
                      <w:b/>
                      <w:szCs w:val="21"/>
                    </w:rPr>
                    <w:t>昼间</w:t>
                  </w:r>
                </w:p>
              </w:tc>
              <w:tc>
                <w:tcPr>
                  <w:tcW w:w="708" w:type="dxa"/>
                  <w:vAlign w:val="center"/>
                </w:tcPr>
                <w:p>
                  <w:pPr>
                    <w:jc w:val="center"/>
                    <w:rPr>
                      <w:rFonts w:ascii="Times New Roman" w:hAnsi="Times New Roman" w:eastAsia="仿宋_GB2312"/>
                      <w:b/>
                      <w:szCs w:val="21"/>
                    </w:rPr>
                  </w:pPr>
                  <w:r>
                    <w:rPr>
                      <w:rFonts w:ascii="Times New Roman" w:hAnsi="Times New Roman" w:eastAsia="仿宋_GB2312"/>
                      <w:b/>
                      <w:szCs w:val="21"/>
                    </w:rPr>
                    <w:t>夜间</w:t>
                  </w:r>
                </w:p>
              </w:tc>
              <w:tc>
                <w:tcPr>
                  <w:tcW w:w="709" w:type="dxa"/>
                  <w:vAlign w:val="center"/>
                </w:tcPr>
                <w:p>
                  <w:pPr>
                    <w:jc w:val="center"/>
                    <w:rPr>
                      <w:rFonts w:ascii="Times New Roman" w:hAnsi="Times New Roman" w:eastAsia="仿宋_GB2312"/>
                      <w:b/>
                      <w:szCs w:val="21"/>
                    </w:rPr>
                  </w:pPr>
                  <w:r>
                    <w:rPr>
                      <w:rFonts w:ascii="Times New Roman" w:hAnsi="Times New Roman" w:eastAsia="仿宋_GB2312"/>
                      <w:b/>
                      <w:szCs w:val="21"/>
                    </w:rPr>
                    <w:t>昼间</w:t>
                  </w:r>
                </w:p>
              </w:tc>
              <w:tc>
                <w:tcPr>
                  <w:tcW w:w="709" w:type="dxa"/>
                  <w:vAlign w:val="center"/>
                </w:tcPr>
                <w:p>
                  <w:pPr>
                    <w:jc w:val="center"/>
                    <w:rPr>
                      <w:rFonts w:ascii="Times New Roman" w:hAnsi="Times New Roman" w:eastAsia="仿宋_GB2312"/>
                      <w:b/>
                      <w:szCs w:val="21"/>
                    </w:rPr>
                  </w:pPr>
                  <w:r>
                    <w:rPr>
                      <w:rFonts w:ascii="Times New Roman" w:hAnsi="Times New Roman" w:eastAsia="仿宋_GB2312"/>
                      <w:b/>
                      <w:szCs w:val="21"/>
                    </w:rPr>
                    <w:t>夜间</w:t>
                  </w:r>
                </w:p>
              </w:tc>
              <w:tc>
                <w:tcPr>
                  <w:tcW w:w="1672" w:type="dxa"/>
                  <w:vMerge w:val="continue"/>
                  <w:vAlign w:val="center"/>
                </w:tcPr>
                <w:p>
                  <w:pPr>
                    <w:jc w:val="center"/>
                    <w:rPr>
                      <w:rFonts w:ascii="Times New Roman" w:hAnsi="Times New Roman" w:eastAsia="仿宋_GB2312"/>
                      <w:b/>
                      <w:szCs w:val="21"/>
                    </w:rPr>
                  </w:pPr>
                </w:p>
              </w:tc>
              <w:tc>
                <w:tcPr>
                  <w:tcW w:w="850" w:type="dxa"/>
                  <w:vAlign w:val="center"/>
                </w:tcPr>
                <w:p>
                  <w:pPr>
                    <w:jc w:val="center"/>
                    <w:rPr>
                      <w:rFonts w:ascii="Times New Roman" w:hAnsi="Times New Roman" w:eastAsia="仿宋_GB2312"/>
                      <w:b/>
                      <w:szCs w:val="21"/>
                    </w:rPr>
                  </w:pPr>
                  <w:r>
                    <w:rPr>
                      <w:rFonts w:ascii="Times New Roman" w:hAnsi="Times New Roman" w:eastAsia="仿宋_GB2312"/>
                      <w:b/>
                      <w:szCs w:val="21"/>
                    </w:rPr>
                    <w:t>昼间</w:t>
                  </w:r>
                </w:p>
              </w:tc>
              <w:tc>
                <w:tcPr>
                  <w:tcW w:w="706" w:type="dxa"/>
                  <w:vAlign w:val="center"/>
                </w:tcPr>
                <w:p>
                  <w:pPr>
                    <w:jc w:val="center"/>
                    <w:rPr>
                      <w:rFonts w:ascii="Times New Roman" w:hAnsi="Times New Roman" w:eastAsia="仿宋_GB2312"/>
                      <w:b/>
                      <w:szCs w:val="21"/>
                    </w:rPr>
                  </w:pPr>
                  <w:r>
                    <w:rPr>
                      <w:rFonts w:ascii="Times New Roman" w:hAnsi="Times New Roman" w:eastAsia="仿宋_GB2312"/>
                      <w:b/>
                      <w:szCs w:val="21"/>
                    </w:rPr>
                    <w:t>夜间</w:t>
                  </w:r>
                </w:p>
              </w:tc>
              <w:tc>
                <w:tcPr>
                  <w:tcW w:w="0" w:type="auto"/>
                  <w:vMerge w:val="continue"/>
                </w:tcPr>
                <w:p>
                  <w:pPr>
                    <w:jc w:val="center"/>
                    <w:rPr>
                      <w:rFonts w:ascii="Times New Roman" w:hAnsi="Times New Roman" w:eastAsia="仿宋_GB2312"/>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Z1</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0.7</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5.6</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3.6</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4.7</w:t>
                  </w:r>
                </w:p>
              </w:tc>
              <w:tc>
                <w:tcPr>
                  <w:tcW w:w="1672" w:type="dxa"/>
                  <w:vAlign w:val="center"/>
                </w:tcPr>
                <w:p>
                  <w:pPr>
                    <w:jc w:val="center"/>
                    <w:rPr>
                      <w:rFonts w:ascii="Times New Roman" w:hAnsi="Times New Roman" w:eastAsia="仿宋_GB2312"/>
                      <w:szCs w:val="21"/>
                    </w:rPr>
                  </w:pPr>
                  <w:r>
                    <w:rPr>
                      <w:rFonts w:hint="eastAsia" w:ascii="Times New Roman" w:hAnsi="Times New Roman" w:eastAsia="仿宋_GB2312"/>
                      <w:szCs w:val="21"/>
                    </w:rPr>
                    <w:t>《声环境质量标准》（GB3096-2008）中4a类标准</w:t>
                  </w:r>
                </w:p>
              </w:tc>
              <w:tc>
                <w:tcPr>
                  <w:tcW w:w="850" w:type="dxa"/>
                  <w:vAlign w:val="center"/>
                </w:tcPr>
                <w:p>
                  <w:pPr>
                    <w:jc w:val="center"/>
                    <w:rPr>
                      <w:rFonts w:ascii="Times New Roman" w:hAnsi="Times New Roman" w:eastAsia="仿宋_GB2312"/>
                      <w:szCs w:val="21"/>
                    </w:rPr>
                  </w:pPr>
                  <w:r>
                    <w:rPr>
                      <w:rFonts w:ascii="Times New Roman" w:hAnsi="Times New Roman" w:eastAsia="仿宋_GB2312"/>
                      <w:szCs w:val="21"/>
                    </w:rPr>
                    <w:t>70</w:t>
                  </w:r>
                </w:p>
              </w:tc>
              <w:tc>
                <w:tcPr>
                  <w:tcW w:w="706" w:type="dxa"/>
                  <w:vAlign w:val="center"/>
                </w:tcPr>
                <w:p>
                  <w:pPr>
                    <w:jc w:val="center"/>
                    <w:rPr>
                      <w:rFonts w:ascii="Times New Roman" w:hAnsi="Times New Roman" w:eastAsia="仿宋_GB2312"/>
                      <w:szCs w:val="21"/>
                    </w:rPr>
                  </w:pPr>
                  <w:r>
                    <w:rPr>
                      <w:rFonts w:ascii="Times New Roman" w:hAnsi="Times New Roman" w:eastAsia="仿宋_GB2312"/>
                      <w:szCs w:val="21"/>
                    </w:rPr>
                    <w:t>55</w:t>
                  </w: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Z2</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6.5</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7.3</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8.4</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6.9</w:t>
                  </w:r>
                </w:p>
              </w:tc>
              <w:tc>
                <w:tcPr>
                  <w:tcW w:w="1672" w:type="dxa"/>
                  <w:vMerge w:val="restart"/>
                  <w:vAlign w:val="center"/>
                </w:tcPr>
                <w:p>
                  <w:pPr>
                    <w:jc w:val="center"/>
                    <w:rPr>
                      <w:rFonts w:ascii="Times New Roman" w:hAnsi="Times New Roman" w:eastAsia="仿宋_GB2312"/>
                      <w:szCs w:val="21"/>
                    </w:rPr>
                  </w:pPr>
                  <w:r>
                    <w:rPr>
                      <w:rFonts w:ascii="Times New Roman" w:hAnsi="Times New Roman" w:eastAsia="仿宋_GB2312"/>
                      <w:bCs/>
                      <w:kern w:val="0"/>
                      <w:szCs w:val="21"/>
                    </w:rPr>
                    <w:t>《声环境质量标准》（GB3096-2008）中2类标准</w:t>
                  </w:r>
                </w:p>
              </w:tc>
              <w:tc>
                <w:tcPr>
                  <w:tcW w:w="850"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0</w:t>
                  </w:r>
                </w:p>
              </w:tc>
              <w:tc>
                <w:tcPr>
                  <w:tcW w:w="706"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0</w:t>
                  </w:r>
                </w:p>
              </w:tc>
              <w:tc>
                <w:tcPr>
                  <w:tcW w:w="0" w:type="auto"/>
                  <w:vAlign w:val="center"/>
                </w:tcPr>
                <w:p>
                  <w:pPr>
                    <w:jc w:val="center"/>
                    <w:rPr>
                      <w:rFonts w:ascii="Times New Roman" w:hAnsi="Times New Roman" w:eastAsia="仿宋_GB2312"/>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Z3</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2.9</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5.6</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3.1</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2.5</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Z4</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7.5</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6.9</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5.7</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3.7</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Z5(</w:t>
                  </w:r>
                  <w:r>
                    <w:rPr>
                      <w:rFonts w:hint="eastAsia" w:ascii="Times New Roman" w:hAnsi="Times New Roman" w:eastAsia="仿宋_GB2312"/>
                      <w:szCs w:val="21"/>
                    </w:rPr>
                    <w:t>上</w:t>
                  </w:r>
                  <w:r>
                    <w:rPr>
                      <w:rFonts w:ascii="Times New Roman" w:hAnsi="Times New Roman" w:eastAsia="仿宋_GB2312"/>
                      <w:szCs w:val="21"/>
                    </w:rPr>
                    <w:t>)</w:t>
                  </w:r>
                  <w:r>
                    <w:rPr>
                      <w:rFonts w:ascii="Times New Roman" w:hAnsi="Times New Roman" w:eastAsia="仿宋_GB2312"/>
                      <w:szCs w:val="21"/>
                      <w:vertAlign w:val="superscript"/>
                    </w:rPr>
                    <w:t>[1]</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8.2</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6.0</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1.9</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4.8</w:t>
                  </w:r>
                </w:p>
              </w:tc>
              <w:tc>
                <w:tcPr>
                  <w:tcW w:w="1672" w:type="dxa"/>
                  <w:vMerge w:val="restart"/>
                  <w:vAlign w:val="center"/>
                </w:tcPr>
                <w:p>
                  <w:pPr>
                    <w:jc w:val="center"/>
                    <w:rPr>
                      <w:rFonts w:ascii="Times New Roman" w:hAnsi="Times New Roman" w:eastAsia="仿宋_GB2312"/>
                      <w:szCs w:val="21"/>
                    </w:rPr>
                  </w:pPr>
                  <w:r>
                    <w:rPr>
                      <w:rFonts w:ascii="Times New Roman" w:hAnsi="Times New Roman" w:eastAsia="仿宋_GB2312"/>
                      <w:bCs/>
                      <w:kern w:val="0"/>
                      <w:szCs w:val="21"/>
                    </w:rPr>
                    <w:t>《声环境质量标准》（GB3096-2008）中4</w:t>
                  </w:r>
                  <w:r>
                    <w:rPr>
                      <w:rFonts w:hint="eastAsia" w:ascii="Times New Roman" w:hAnsi="Times New Roman" w:eastAsia="仿宋_GB2312"/>
                      <w:bCs/>
                      <w:kern w:val="0"/>
                      <w:szCs w:val="21"/>
                    </w:rPr>
                    <w:t>a</w:t>
                  </w:r>
                  <w:r>
                    <w:rPr>
                      <w:rFonts w:ascii="Times New Roman" w:hAnsi="Times New Roman" w:eastAsia="仿宋_GB2312"/>
                      <w:bCs/>
                      <w:kern w:val="0"/>
                      <w:szCs w:val="21"/>
                    </w:rPr>
                    <w:t>类标准</w:t>
                  </w:r>
                </w:p>
              </w:tc>
              <w:tc>
                <w:tcPr>
                  <w:tcW w:w="850"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7</w:t>
                  </w:r>
                  <w:r>
                    <w:rPr>
                      <w:rFonts w:ascii="Times New Roman" w:hAnsi="Times New Roman" w:eastAsia="仿宋_GB2312"/>
                      <w:szCs w:val="21"/>
                    </w:rPr>
                    <w:t>0</w:t>
                  </w:r>
                </w:p>
              </w:tc>
              <w:tc>
                <w:tcPr>
                  <w:tcW w:w="706"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5</w:t>
                  </w: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Z5(</w:t>
                  </w:r>
                  <w:r>
                    <w:rPr>
                      <w:rFonts w:hint="eastAsia" w:ascii="Times New Roman" w:hAnsi="Times New Roman" w:eastAsia="仿宋_GB2312"/>
                      <w:szCs w:val="21"/>
                    </w:rPr>
                    <w:t>中</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8.2</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5.5</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0.7</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5.7</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Z5(</w:t>
                  </w:r>
                  <w:r>
                    <w:rPr>
                      <w:rFonts w:hint="eastAsia" w:ascii="Times New Roman" w:hAnsi="Times New Roman" w:eastAsia="仿宋_GB2312"/>
                      <w:szCs w:val="21"/>
                    </w:rPr>
                    <w:t>下</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8.5</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6.0</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2.9</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4.7</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Z6(</w:t>
                  </w:r>
                  <w:r>
                    <w:rPr>
                      <w:rFonts w:hint="eastAsia" w:ascii="Times New Roman" w:hAnsi="Times New Roman" w:eastAsia="仿宋_GB2312"/>
                      <w:szCs w:val="21"/>
                    </w:rPr>
                    <w:t>上</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3.5</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4.5</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2.4</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5.9</w:t>
                  </w:r>
                </w:p>
              </w:tc>
              <w:tc>
                <w:tcPr>
                  <w:tcW w:w="1672" w:type="dxa"/>
                  <w:vMerge w:val="continue"/>
                  <w:vAlign w:val="center"/>
                </w:tcPr>
                <w:p>
                  <w:pPr>
                    <w:jc w:val="center"/>
                    <w:rPr>
                      <w:rFonts w:ascii="Times New Roman" w:hAnsi="Times New Roman" w:eastAsia="仿宋_GB2312"/>
                      <w:bCs/>
                      <w:kern w:val="0"/>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Z6(</w:t>
                  </w:r>
                  <w:r>
                    <w:rPr>
                      <w:rFonts w:hint="eastAsia" w:ascii="Times New Roman" w:hAnsi="Times New Roman" w:eastAsia="仿宋_GB2312"/>
                      <w:szCs w:val="21"/>
                    </w:rPr>
                    <w:t>中</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1.7</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5.0</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1.3</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5.5</w:t>
                  </w:r>
                </w:p>
              </w:tc>
              <w:tc>
                <w:tcPr>
                  <w:tcW w:w="1672" w:type="dxa"/>
                  <w:vMerge w:val="continue"/>
                  <w:vAlign w:val="center"/>
                </w:tcPr>
                <w:p>
                  <w:pPr>
                    <w:jc w:val="center"/>
                    <w:rPr>
                      <w:rFonts w:ascii="Times New Roman" w:hAnsi="Times New Roman" w:eastAsia="仿宋_GB2312"/>
                      <w:bCs/>
                      <w:kern w:val="0"/>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Z6(</w:t>
                  </w:r>
                  <w:r>
                    <w:rPr>
                      <w:rFonts w:hint="eastAsia" w:ascii="Times New Roman" w:hAnsi="Times New Roman" w:eastAsia="仿宋_GB2312"/>
                      <w:szCs w:val="21"/>
                    </w:rPr>
                    <w:t>下</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1.8</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4.9</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1.1</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5.1</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Z7(</w:t>
                  </w:r>
                  <w:r>
                    <w:rPr>
                      <w:rFonts w:hint="eastAsia" w:ascii="Times New Roman" w:hAnsi="Times New Roman" w:eastAsia="仿宋_GB2312"/>
                      <w:szCs w:val="21"/>
                    </w:rPr>
                    <w:t>上</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ascii="Times New Roman" w:hAnsi="Times New Roman" w:eastAsia="仿宋_GB2312"/>
                      <w:szCs w:val="21"/>
                    </w:rPr>
                    <w:t>46.8</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1.8</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7.3</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1.6</w:t>
                  </w:r>
                </w:p>
              </w:tc>
              <w:tc>
                <w:tcPr>
                  <w:tcW w:w="1672" w:type="dxa"/>
                  <w:vMerge w:val="restart"/>
                  <w:vAlign w:val="center"/>
                </w:tcPr>
                <w:p>
                  <w:pPr>
                    <w:jc w:val="center"/>
                    <w:rPr>
                      <w:rFonts w:ascii="Times New Roman" w:hAnsi="Times New Roman" w:eastAsia="仿宋_GB2312"/>
                      <w:bCs/>
                      <w:kern w:val="0"/>
                      <w:szCs w:val="21"/>
                    </w:rPr>
                  </w:pPr>
                  <w:r>
                    <w:rPr>
                      <w:rFonts w:ascii="Times New Roman" w:hAnsi="Times New Roman" w:eastAsia="仿宋_GB2312"/>
                      <w:bCs/>
                      <w:kern w:val="0"/>
                      <w:szCs w:val="21"/>
                    </w:rPr>
                    <w:t>《声环境质量标准》（GB3096-2008）中2类标准</w:t>
                  </w:r>
                </w:p>
              </w:tc>
              <w:tc>
                <w:tcPr>
                  <w:tcW w:w="850" w:type="dxa"/>
                  <w:vMerge w:val="restart"/>
                  <w:vAlign w:val="center"/>
                </w:tcPr>
                <w:p>
                  <w:pPr>
                    <w:jc w:val="center"/>
                    <w:rPr>
                      <w:rFonts w:ascii="Times New Roman" w:hAnsi="Times New Roman" w:eastAsia="仿宋_GB2312"/>
                      <w:szCs w:val="21"/>
                    </w:rPr>
                  </w:pPr>
                  <w:r>
                    <w:rPr>
                      <w:rFonts w:ascii="Times New Roman" w:hAnsi="Times New Roman" w:eastAsia="仿宋_GB2312"/>
                      <w:szCs w:val="21"/>
                    </w:rPr>
                    <w:t>60</w:t>
                  </w:r>
                </w:p>
              </w:tc>
              <w:tc>
                <w:tcPr>
                  <w:tcW w:w="706"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0</w:t>
                  </w: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Z7(</w:t>
                  </w:r>
                  <w:r>
                    <w:rPr>
                      <w:rFonts w:hint="eastAsia" w:ascii="Times New Roman" w:hAnsi="Times New Roman" w:eastAsia="仿宋_GB2312"/>
                      <w:szCs w:val="21"/>
                    </w:rPr>
                    <w:t>中</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6.9</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0.8</w:t>
                  </w:r>
                </w:p>
              </w:tc>
              <w:tc>
                <w:tcPr>
                  <w:tcW w:w="709" w:type="dxa"/>
                  <w:vAlign w:val="center"/>
                </w:tcPr>
                <w:p>
                  <w:pPr>
                    <w:jc w:val="center"/>
                    <w:rPr>
                      <w:rFonts w:ascii="Times New Roman" w:hAnsi="Times New Roman" w:eastAsia="仿宋_GB2312"/>
                      <w:szCs w:val="21"/>
                    </w:rPr>
                  </w:pPr>
                  <w:r>
                    <w:rPr>
                      <w:rFonts w:ascii="Times New Roman" w:hAnsi="Times New Roman" w:eastAsia="仿宋_GB2312"/>
                      <w:szCs w:val="21"/>
                    </w:rPr>
                    <w:t>47.2</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1.3</w:t>
                  </w:r>
                </w:p>
              </w:tc>
              <w:tc>
                <w:tcPr>
                  <w:tcW w:w="1672" w:type="dxa"/>
                  <w:vMerge w:val="continue"/>
                  <w:vAlign w:val="center"/>
                </w:tcPr>
                <w:p>
                  <w:pPr>
                    <w:jc w:val="center"/>
                    <w:rPr>
                      <w:rFonts w:ascii="Times New Roman" w:hAnsi="Times New Roman" w:eastAsia="仿宋_GB2312"/>
                      <w:bCs/>
                      <w:kern w:val="0"/>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Z7(</w:t>
                  </w:r>
                  <w:r>
                    <w:rPr>
                      <w:rFonts w:hint="eastAsia" w:ascii="Times New Roman" w:hAnsi="Times New Roman" w:eastAsia="仿宋_GB2312"/>
                      <w:szCs w:val="21"/>
                    </w:rPr>
                    <w:t>下</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7.2</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0.2</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5.0</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1.8</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Z8(</w:t>
                  </w:r>
                  <w:r>
                    <w:rPr>
                      <w:rFonts w:hint="eastAsia" w:ascii="Times New Roman" w:hAnsi="Times New Roman" w:eastAsia="仿宋_GB2312"/>
                      <w:szCs w:val="21"/>
                    </w:rPr>
                    <w:t>上</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4.4</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1.6</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2.2</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5.6</w:t>
                  </w:r>
                </w:p>
              </w:tc>
              <w:tc>
                <w:tcPr>
                  <w:tcW w:w="1672" w:type="dxa"/>
                  <w:vMerge w:val="restart"/>
                  <w:vAlign w:val="center"/>
                </w:tcPr>
                <w:p>
                  <w:pPr>
                    <w:jc w:val="center"/>
                    <w:rPr>
                      <w:rFonts w:ascii="Times New Roman" w:hAnsi="Times New Roman" w:eastAsia="仿宋_GB2312"/>
                      <w:bCs/>
                      <w:kern w:val="0"/>
                      <w:szCs w:val="21"/>
                    </w:rPr>
                  </w:pPr>
                  <w:r>
                    <w:rPr>
                      <w:rFonts w:ascii="Times New Roman" w:hAnsi="Times New Roman" w:eastAsia="仿宋_GB2312"/>
                      <w:bCs/>
                      <w:kern w:val="0"/>
                      <w:szCs w:val="21"/>
                    </w:rPr>
                    <w:t>《声环境质量标准》（GB3096-2008）中4</w:t>
                  </w:r>
                  <w:r>
                    <w:rPr>
                      <w:rFonts w:hint="eastAsia" w:ascii="Times New Roman" w:hAnsi="Times New Roman" w:eastAsia="仿宋_GB2312"/>
                      <w:bCs/>
                      <w:kern w:val="0"/>
                      <w:szCs w:val="21"/>
                    </w:rPr>
                    <w:t>a</w:t>
                  </w:r>
                  <w:r>
                    <w:rPr>
                      <w:rFonts w:ascii="Times New Roman" w:hAnsi="Times New Roman" w:eastAsia="仿宋_GB2312"/>
                      <w:bCs/>
                      <w:kern w:val="0"/>
                      <w:szCs w:val="21"/>
                    </w:rPr>
                    <w:t>类标准</w:t>
                  </w:r>
                </w:p>
              </w:tc>
              <w:tc>
                <w:tcPr>
                  <w:tcW w:w="850"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7</w:t>
                  </w:r>
                  <w:r>
                    <w:rPr>
                      <w:rFonts w:ascii="Times New Roman" w:hAnsi="Times New Roman" w:eastAsia="仿宋_GB2312"/>
                      <w:szCs w:val="21"/>
                    </w:rPr>
                    <w:t>0</w:t>
                  </w:r>
                </w:p>
              </w:tc>
              <w:tc>
                <w:tcPr>
                  <w:tcW w:w="706" w:type="dxa"/>
                  <w:vMerge w:val="restart"/>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5</w:t>
                  </w:r>
                </w:p>
              </w:tc>
              <w:tc>
                <w:tcPr>
                  <w:tcW w:w="0" w:type="auto"/>
                  <w:vAlign w:val="center"/>
                </w:tcPr>
                <w:p>
                  <w:pPr>
                    <w:jc w:val="center"/>
                    <w:rPr>
                      <w:rFonts w:ascii="Times New Roman" w:hAnsi="Times New Roman" w:eastAsia="仿宋_GB2312"/>
                      <w:b/>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Z8(</w:t>
                  </w:r>
                  <w:r>
                    <w:rPr>
                      <w:rFonts w:hint="eastAsia" w:ascii="Times New Roman" w:hAnsi="Times New Roman" w:eastAsia="仿宋_GB2312"/>
                      <w:szCs w:val="21"/>
                    </w:rPr>
                    <w:t>中</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5.9</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0.3</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2.9</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5.3</w:t>
                  </w:r>
                </w:p>
              </w:tc>
              <w:tc>
                <w:tcPr>
                  <w:tcW w:w="1672" w:type="dxa"/>
                  <w:vMerge w:val="continue"/>
                  <w:vAlign w:val="center"/>
                </w:tcPr>
                <w:p>
                  <w:pPr>
                    <w:jc w:val="center"/>
                    <w:rPr>
                      <w:rFonts w:ascii="Times New Roman" w:hAnsi="Times New Roman" w:eastAsia="仿宋_GB2312"/>
                      <w:bCs/>
                      <w:kern w:val="0"/>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Z8(</w:t>
                  </w:r>
                  <w:r>
                    <w:rPr>
                      <w:rFonts w:hint="eastAsia" w:ascii="Times New Roman" w:hAnsi="Times New Roman" w:eastAsia="仿宋_GB2312"/>
                      <w:szCs w:val="21"/>
                    </w:rPr>
                    <w:t>下</w:t>
                  </w:r>
                  <w:r>
                    <w:rPr>
                      <w:rFonts w:ascii="Times New Roman" w:hAnsi="Times New Roman" w:eastAsia="仿宋_GB2312"/>
                      <w:szCs w:val="21"/>
                    </w:rPr>
                    <w:t>)</w:t>
                  </w:r>
                </w:p>
              </w:tc>
              <w:tc>
                <w:tcPr>
                  <w:tcW w:w="766"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6.6</w:t>
                  </w:r>
                </w:p>
              </w:tc>
              <w:tc>
                <w:tcPr>
                  <w:tcW w:w="708"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4.2</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5</w:t>
                  </w:r>
                  <w:r>
                    <w:rPr>
                      <w:rFonts w:ascii="Times New Roman" w:hAnsi="Times New Roman" w:eastAsia="仿宋_GB2312"/>
                      <w:szCs w:val="21"/>
                    </w:rPr>
                    <w:t>2.3</w:t>
                  </w:r>
                </w:p>
              </w:tc>
              <w:tc>
                <w:tcPr>
                  <w:tcW w:w="709" w:type="dxa"/>
                  <w:vAlign w:val="center"/>
                </w:tcPr>
                <w:p>
                  <w:pPr>
                    <w:jc w:val="center"/>
                    <w:rPr>
                      <w:rFonts w:ascii="Times New Roman" w:hAnsi="Times New Roman" w:eastAsia="仿宋_GB2312"/>
                      <w:szCs w:val="21"/>
                    </w:rPr>
                  </w:pPr>
                  <w:r>
                    <w:rPr>
                      <w:rFonts w:hint="eastAsia" w:ascii="Times New Roman" w:hAnsi="Times New Roman" w:eastAsia="仿宋_GB2312"/>
                      <w:szCs w:val="21"/>
                    </w:rPr>
                    <w:t>4</w:t>
                  </w:r>
                  <w:r>
                    <w:rPr>
                      <w:rFonts w:ascii="Times New Roman" w:hAnsi="Times New Roman" w:eastAsia="仿宋_GB2312"/>
                      <w:szCs w:val="21"/>
                    </w:rPr>
                    <w:t>5.6</w:t>
                  </w:r>
                </w:p>
              </w:tc>
              <w:tc>
                <w:tcPr>
                  <w:tcW w:w="1672" w:type="dxa"/>
                  <w:vMerge w:val="continue"/>
                  <w:vAlign w:val="center"/>
                </w:tcPr>
                <w:p>
                  <w:pPr>
                    <w:jc w:val="center"/>
                    <w:rPr>
                      <w:rFonts w:ascii="Times New Roman" w:hAnsi="Times New Roman" w:eastAsia="仿宋_GB2312"/>
                      <w:szCs w:val="21"/>
                    </w:rPr>
                  </w:pPr>
                </w:p>
              </w:tc>
              <w:tc>
                <w:tcPr>
                  <w:tcW w:w="850" w:type="dxa"/>
                  <w:vMerge w:val="continue"/>
                  <w:vAlign w:val="center"/>
                </w:tcPr>
                <w:p>
                  <w:pPr>
                    <w:jc w:val="center"/>
                    <w:rPr>
                      <w:rFonts w:ascii="Times New Roman" w:hAnsi="Times New Roman" w:eastAsia="仿宋_GB2312"/>
                      <w:szCs w:val="21"/>
                    </w:rPr>
                  </w:pPr>
                </w:p>
              </w:tc>
              <w:tc>
                <w:tcPr>
                  <w:tcW w:w="706" w:type="dxa"/>
                  <w:vMerge w:val="continue"/>
                  <w:vAlign w:val="center"/>
                </w:tcPr>
                <w:p>
                  <w:pPr>
                    <w:jc w:val="center"/>
                    <w:rPr>
                      <w:rFonts w:ascii="Times New Roman" w:hAnsi="Times New Roman" w:eastAsia="仿宋_GB2312"/>
                      <w:szCs w:val="21"/>
                    </w:rPr>
                  </w:pPr>
                </w:p>
              </w:tc>
              <w:tc>
                <w:tcPr>
                  <w:tcW w:w="0" w:type="auto"/>
                  <w:vAlign w:val="center"/>
                </w:tcPr>
                <w:p>
                  <w:pPr>
                    <w:jc w:val="center"/>
                    <w:rPr>
                      <w:rFonts w:ascii="Times New Roman" w:hAnsi="Times New Roman" w:eastAsia="仿宋_GB2312"/>
                      <w:szCs w:val="21"/>
                    </w:rPr>
                  </w:pPr>
                  <w:r>
                    <w:rPr>
                      <w:rFonts w:ascii="Times New Roman" w:hAnsi="Times New Roman" w:eastAsia="仿宋_GB2312"/>
                      <w:szCs w:val="21"/>
                    </w:rPr>
                    <w:t>达标</w:t>
                  </w:r>
                </w:p>
              </w:tc>
            </w:tr>
          </w:tbl>
          <w:p>
            <w:pPr>
              <w:adjustRightInd w:val="0"/>
              <w:snapToGrid w:val="0"/>
              <w:rPr>
                <w:rFonts w:ascii="Times New Roman" w:hAnsi="Times New Roman" w:eastAsia="仿宋_GB2312"/>
                <w:color w:val="000000"/>
                <w:sz w:val="18"/>
                <w:szCs w:val="18"/>
              </w:rPr>
            </w:pPr>
            <w:r>
              <w:rPr>
                <w:rFonts w:hint="eastAsia" w:ascii="Times New Roman" w:hAnsi="Times New Roman" w:eastAsia="仿宋_GB2312"/>
                <w:color w:val="000000"/>
                <w:sz w:val="18"/>
                <w:szCs w:val="18"/>
              </w:rPr>
              <w:t>[</w:t>
            </w:r>
            <w:r>
              <w:rPr>
                <w:rFonts w:ascii="Times New Roman" w:hAnsi="Times New Roman" w:eastAsia="仿宋_GB2312"/>
                <w:color w:val="000000"/>
                <w:sz w:val="18"/>
                <w:szCs w:val="18"/>
              </w:rPr>
              <w:t>1]</w:t>
            </w:r>
            <w:r>
              <w:rPr>
                <w:rFonts w:hint="eastAsia" w:ascii="Times New Roman" w:hAnsi="Times New Roman" w:eastAsia="仿宋_GB2312"/>
                <w:color w:val="000000"/>
                <w:sz w:val="18"/>
                <w:szCs w:val="18"/>
              </w:rPr>
              <w:t>：监测点上、中、下代表监测楼房顶层、中间层及底层。</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根据监测结果，监测期间项目大楼临近凤凰西街次干道一侧监测点（Z</w:t>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、Z</w:t>
            </w:r>
            <w:r>
              <w:rPr>
                <w:rFonts w:ascii="Times New Roman" w:hAnsi="Times New Roman" w:eastAsia="仿宋_GB2312"/>
                <w:color w:val="000000"/>
                <w:sz w:val="24"/>
                <w:szCs w:val="24"/>
              </w:rPr>
              <w:t>5</w:t>
            </w:r>
            <w:r>
              <w:rPr>
                <w:rFonts w:hint="eastAsia" w:ascii="Times New Roman" w:hAnsi="Times New Roman" w:eastAsia="仿宋_GB2312"/>
                <w:color w:val="000000"/>
                <w:sz w:val="24"/>
                <w:szCs w:val="24"/>
              </w:rPr>
              <w:t>、Z</w:t>
            </w:r>
            <w:r>
              <w:rPr>
                <w:rFonts w:ascii="Times New Roman" w:hAnsi="Times New Roman" w:eastAsia="仿宋_GB2312"/>
                <w:color w:val="000000"/>
                <w:sz w:val="24"/>
                <w:szCs w:val="24"/>
              </w:rPr>
              <w:t>6</w:t>
            </w:r>
            <w:r>
              <w:rPr>
                <w:rFonts w:hint="eastAsia" w:ascii="Times New Roman" w:hAnsi="Times New Roman" w:eastAsia="仿宋_GB2312"/>
                <w:color w:val="000000"/>
                <w:sz w:val="24"/>
                <w:szCs w:val="24"/>
              </w:rPr>
              <w:t>、Z</w:t>
            </w:r>
            <w:r>
              <w:rPr>
                <w:rFonts w:ascii="Times New Roman" w:hAnsi="Times New Roman" w:eastAsia="仿宋_GB2312"/>
                <w:color w:val="000000"/>
                <w:sz w:val="24"/>
                <w:szCs w:val="24"/>
              </w:rPr>
              <w:t>8</w:t>
            </w:r>
            <w:r>
              <w:rPr>
                <w:rFonts w:hint="eastAsia" w:ascii="Times New Roman" w:hAnsi="Times New Roman" w:eastAsia="仿宋_GB2312"/>
                <w:color w:val="000000"/>
                <w:sz w:val="24"/>
                <w:szCs w:val="24"/>
              </w:rPr>
              <w:t>）声环境均可达到《声环境质量标准》(GB3096-2008)中的4a类标准，其它厂界及敏感目标监测点声环境均可达到《声环境质量标准》(GB3096-2008)中的2类标准。因此区域声环境质量较好，满足相应标准要求。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2" w:hRule="atLeast"/>
          <w:jc w:val="center"/>
        </w:trPr>
        <w:tc>
          <w:tcPr>
            <w:tcW w:w="8528" w:type="dxa"/>
          </w:tcPr>
          <w:p>
            <w:pPr>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2、主要环境保护目标（列出名单及保护级别）：</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根据现场踏勘，项目位于凤凰西街241号，项目周边环境保护目标见表3-2、表3-3以及附图3。</w:t>
            </w:r>
          </w:p>
          <w:p>
            <w:pPr>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表3-2 建设项目周边环境保护目标一览表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1491"/>
              <w:gridCol w:w="1009"/>
              <w:gridCol w:w="1145"/>
              <w:gridCol w:w="795"/>
              <w:gridCol w:w="1734"/>
              <w:gridCol w:w="437"/>
              <w:gridCol w:w="545"/>
              <w:gridCol w:w="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45" w:type="pct"/>
                  <w:vMerge w:val="restart"/>
                  <w:shd w:val="clear" w:color="auto" w:fill="auto"/>
                  <w:vAlign w:val="center"/>
                </w:tcPr>
                <w:p>
                  <w:pPr>
                    <w:pStyle w:val="253"/>
                    <w:rPr>
                      <w:rFonts w:eastAsia="仿宋_GB2312"/>
                      <w:b/>
                      <w:color w:val="000000"/>
                      <w:sz w:val="18"/>
                      <w:szCs w:val="18"/>
                    </w:rPr>
                  </w:pPr>
                  <w:r>
                    <w:rPr>
                      <w:rFonts w:eastAsia="仿宋_GB2312"/>
                      <w:b/>
                      <w:color w:val="000000"/>
                      <w:sz w:val="18"/>
                      <w:szCs w:val="18"/>
                    </w:rPr>
                    <w:t>编号</w:t>
                  </w:r>
                </w:p>
              </w:tc>
              <w:tc>
                <w:tcPr>
                  <w:tcW w:w="897" w:type="pct"/>
                  <w:vMerge w:val="restart"/>
                  <w:shd w:val="clear" w:color="auto" w:fill="auto"/>
                  <w:vAlign w:val="center"/>
                </w:tcPr>
                <w:p>
                  <w:pPr>
                    <w:pStyle w:val="253"/>
                    <w:rPr>
                      <w:rFonts w:eastAsia="仿宋_GB2312"/>
                      <w:b/>
                      <w:color w:val="000000"/>
                      <w:sz w:val="18"/>
                      <w:szCs w:val="18"/>
                    </w:rPr>
                  </w:pPr>
                  <w:r>
                    <w:rPr>
                      <w:rFonts w:eastAsia="仿宋_GB2312"/>
                      <w:b/>
                      <w:color w:val="000000"/>
                      <w:sz w:val="18"/>
                      <w:szCs w:val="18"/>
                    </w:rPr>
                    <w:t>名称</w:t>
                  </w:r>
                </w:p>
              </w:tc>
              <w:tc>
                <w:tcPr>
                  <w:tcW w:w="1296" w:type="pct"/>
                  <w:gridSpan w:val="2"/>
                  <w:shd w:val="clear" w:color="auto" w:fill="auto"/>
                  <w:vAlign w:val="center"/>
                </w:tcPr>
                <w:p>
                  <w:pPr>
                    <w:pStyle w:val="253"/>
                    <w:rPr>
                      <w:rFonts w:eastAsia="仿宋_GB2312"/>
                      <w:b/>
                      <w:color w:val="000000"/>
                      <w:sz w:val="18"/>
                      <w:szCs w:val="18"/>
                    </w:rPr>
                  </w:pPr>
                  <w:r>
                    <w:rPr>
                      <w:rFonts w:eastAsia="仿宋_GB2312"/>
                      <w:b/>
                      <w:color w:val="000000"/>
                      <w:sz w:val="18"/>
                      <w:szCs w:val="18"/>
                    </w:rPr>
                    <w:t>坐标/m（UTM）</w:t>
                  </w:r>
                </w:p>
              </w:tc>
              <w:tc>
                <w:tcPr>
                  <w:tcW w:w="478" w:type="pct"/>
                  <w:vMerge w:val="restart"/>
                  <w:shd w:val="clear" w:color="auto" w:fill="auto"/>
                  <w:vAlign w:val="center"/>
                </w:tcPr>
                <w:p>
                  <w:pPr>
                    <w:pStyle w:val="253"/>
                    <w:rPr>
                      <w:rFonts w:eastAsia="仿宋_GB2312"/>
                      <w:b/>
                      <w:color w:val="000000"/>
                      <w:sz w:val="18"/>
                      <w:szCs w:val="18"/>
                    </w:rPr>
                  </w:pPr>
                  <w:r>
                    <w:rPr>
                      <w:rFonts w:eastAsia="仿宋_GB2312"/>
                      <w:b/>
                      <w:color w:val="000000"/>
                      <w:sz w:val="18"/>
                      <w:szCs w:val="18"/>
                    </w:rPr>
                    <w:t>保护</w:t>
                  </w:r>
                </w:p>
                <w:p>
                  <w:pPr>
                    <w:pStyle w:val="253"/>
                    <w:rPr>
                      <w:rFonts w:eastAsia="仿宋_GB2312"/>
                      <w:b/>
                      <w:color w:val="000000"/>
                      <w:sz w:val="18"/>
                      <w:szCs w:val="18"/>
                    </w:rPr>
                  </w:pPr>
                  <w:r>
                    <w:rPr>
                      <w:rFonts w:eastAsia="仿宋_GB2312"/>
                      <w:b/>
                      <w:color w:val="000000"/>
                      <w:sz w:val="18"/>
                      <w:szCs w:val="18"/>
                    </w:rPr>
                    <w:t>对象</w:t>
                  </w:r>
                </w:p>
              </w:tc>
              <w:tc>
                <w:tcPr>
                  <w:tcW w:w="1043" w:type="pct"/>
                  <w:vMerge w:val="restart"/>
                  <w:shd w:val="clear" w:color="auto" w:fill="auto"/>
                  <w:vAlign w:val="center"/>
                </w:tcPr>
                <w:p>
                  <w:pPr>
                    <w:pStyle w:val="253"/>
                    <w:rPr>
                      <w:rFonts w:eastAsia="仿宋_GB2312"/>
                      <w:b/>
                      <w:color w:val="000000"/>
                      <w:sz w:val="18"/>
                      <w:szCs w:val="18"/>
                    </w:rPr>
                  </w:pPr>
                  <w:r>
                    <w:rPr>
                      <w:rFonts w:hint="eastAsia" w:eastAsia="仿宋_GB2312"/>
                      <w:b/>
                      <w:color w:val="000000"/>
                      <w:sz w:val="18"/>
                      <w:szCs w:val="18"/>
                    </w:rPr>
                    <w:t>人群健康</w:t>
                  </w:r>
                </w:p>
              </w:tc>
              <w:tc>
                <w:tcPr>
                  <w:tcW w:w="263" w:type="pct"/>
                  <w:vMerge w:val="restart"/>
                  <w:shd w:val="clear" w:color="auto" w:fill="auto"/>
                  <w:vAlign w:val="center"/>
                </w:tcPr>
                <w:p>
                  <w:pPr>
                    <w:pStyle w:val="253"/>
                    <w:rPr>
                      <w:rFonts w:eastAsia="仿宋_GB2312"/>
                      <w:b/>
                      <w:color w:val="000000"/>
                      <w:sz w:val="18"/>
                      <w:szCs w:val="18"/>
                    </w:rPr>
                  </w:pPr>
                  <w:r>
                    <w:rPr>
                      <w:rFonts w:eastAsia="仿宋_GB2312"/>
                      <w:b/>
                      <w:color w:val="000000"/>
                      <w:sz w:val="18"/>
                      <w:szCs w:val="18"/>
                    </w:rPr>
                    <w:t>环境功能区</w:t>
                  </w:r>
                </w:p>
              </w:tc>
              <w:tc>
                <w:tcPr>
                  <w:tcW w:w="328" w:type="pct"/>
                  <w:vMerge w:val="restart"/>
                  <w:shd w:val="clear" w:color="auto" w:fill="auto"/>
                  <w:vAlign w:val="center"/>
                </w:tcPr>
                <w:p>
                  <w:pPr>
                    <w:pStyle w:val="253"/>
                    <w:rPr>
                      <w:rFonts w:eastAsia="仿宋_GB2312"/>
                      <w:b/>
                      <w:color w:val="000000"/>
                      <w:sz w:val="18"/>
                      <w:szCs w:val="18"/>
                    </w:rPr>
                  </w:pPr>
                  <w:r>
                    <w:rPr>
                      <w:rFonts w:eastAsia="仿宋_GB2312"/>
                      <w:b/>
                      <w:color w:val="000000"/>
                      <w:sz w:val="18"/>
                      <w:szCs w:val="18"/>
                    </w:rPr>
                    <w:t>相对方位</w:t>
                  </w:r>
                </w:p>
              </w:tc>
              <w:tc>
                <w:tcPr>
                  <w:tcW w:w="450" w:type="pct"/>
                  <w:vMerge w:val="restart"/>
                  <w:shd w:val="clear" w:color="auto" w:fill="auto"/>
                  <w:vAlign w:val="center"/>
                </w:tcPr>
                <w:p>
                  <w:pPr>
                    <w:pStyle w:val="253"/>
                    <w:rPr>
                      <w:rFonts w:eastAsia="仿宋_GB2312"/>
                      <w:b/>
                      <w:color w:val="000000"/>
                      <w:sz w:val="18"/>
                      <w:szCs w:val="18"/>
                    </w:rPr>
                  </w:pPr>
                  <w:r>
                    <w:rPr>
                      <w:rFonts w:eastAsia="仿宋_GB2312"/>
                      <w:b/>
                      <w:color w:val="000000"/>
                      <w:sz w:val="18"/>
                      <w:szCs w:val="18"/>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 w:hRule="atLeast"/>
              </w:trPr>
              <w:tc>
                <w:tcPr>
                  <w:tcW w:w="245" w:type="pct"/>
                  <w:vMerge w:val="continue"/>
                  <w:shd w:val="clear" w:color="auto" w:fill="auto"/>
                  <w:vAlign w:val="center"/>
                </w:tcPr>
                <w:p>
                  <w:pPr>
                    <w:pStyle w:val="253"/>
                    <w:rPr>
                      <w:rFonts w:eastAsia="仿宋_GB2312"/>
                      <w:b/>
                      <w:color w:val="000000"/>
                      <w:sz w:val="18"/>
                      <w:szCs w:val="18"/>
                    </w:rPr>
                  </w:pPr>
                </w:p>
              </w:tc>
              <w:tc>
                <w:tcPr>
                  <w:tcW w:w="897" w:type="pct"/>
                  <w:vMerge w:val="continue"/>
                  <w:shd w:val="clear" w:color="auto" w:fill="auto"/>
                  <w:vAlign w:val="center"/>
                </w:tcPr>
                <w:p>
                  <w:pPr>
                    <w:pStyle w:val="253"/>
                    <w:rPr>
                      <w:rFonts w:eastAsia="仿宋_GB2312"/>
                      <w:b/>
                      <w:color w:val="000000"/>
                      <w:sz w:val="18"/>
                      <w:szCs w:val="18"/>
                    </w:rPr>
                  </w:pPr>
                </w:p>
              </w:tc>
              <w:tc>
                <w:tcPr>
                  <w:tcW w:w="607" w:type="pct"/>
                  <w:shd w:val="clear" w:color="auto" w:fill="auto"/>
                  <w:vAlign w:val="center"/>
                </w:tcPr>
                <w:p>
                  <w:pPr>
                    <w:pStyle w:val="253"/>
                    <w:rPr>
                      <w:rFonts w:eastAsia="仿宋_GB2312"/>
                      <w:b/>
                      <w:color w:val="000000"/>
                      <w:sz w:val="18"/>
                      <w:szCs w:val="18"/>
                    </w:rPr>
                  </w:pPr>
                  <w:r>
                    <w:rPr>
                      <w:rFonts w:eastAsia="仿宋_GB2312"/>
                      <w:b/>
                      <w:color w:val="000000"/>
                      <w:sz w:val="18"/>
                      <w:szCs w:val="18"/>
                    </w:rPr>
                    <w:t>X</w:t>
                  </w:r>
                </w:p>
              </w:tc>
              <w:tc>
                <w:tcPr>
                  <w:tcW w:w="689" w:type="pct"/>
                  <w:shd w:val="clear" w:color="auto" w:fill="auto"/>
                  <w:vAlign w:val="center"/>
                </w:tcPr>
                <w:p>
                  <w:pPr>
                    <w:pStyle w:val="253"/>
                    <w:rPr>
                      <w:rFonts w:eastAsia="仿宋_GB2312"/>
                      <w:b/>
                      <w:color w:val="000000"/>
                      <w:sz w:val="18"/>
                      <w:szCs w:val="18"/>
                    </w:rPr>
                  </w:pPr>
                  <w:r>
                    <w:rPr>
                      <w:rFonts w:eastAsia="仿宋_GB2312"/>
                      <w:b/>
                      <w:color w:val="000000"/>
                      <w:sz w:val="18"/>
                      <w:szCs w:val="18"/>
                    </w:rPr>
                    <w:t>Y</w:t>
                  </w:r>
                </w:p>
              </w:tc>
              <w:tc>
                <w:tcPr>
                  <w:tcW w:w="478" w:type="pct"/>
                  <w:vMerge w:val="continue"/>
                  <w:shd w:val="clear" w:color="auto" w:fill="auto"/>
                  <w:vAlign w:val="center"/>
                </w:tcPr>
                <w:p>
                  <w:pPr>
                    <w:pStyle w:val="253"/>
                    <w:rPr>
                      <w:rFonts w:eastAsia="仿宋_GB2312"/>
                      <w:color w:val="000000"/>
                      <w:sz w:val="18"/>
                      <w:szCs w:val="18"/>
                    </w:rPr>
                  </w:pPr>
                </w:p>
              </w:tc>
              <w:tc>
                <w:tcPr>
                  <w:tcW w:w="1043" w:type="pct"/>
                  <w:vMerge w:val="continue"/>
                  <w:shd w:val="clear" w:color="auto" w:fill="auto"/>
                  <w:vAlign w:val="center"/>
                </w:tcPr>
                <w:p>
                  <w:pPr>
                    <w:pStyle w:val="253"/>
                    <w:rPr>
                      <w:rFonts w:eastAsia="仿宋_GB2312"/>
                      <w:color w:val="000000"/>
                      <w:sz w:val="18"/>
                      <w:szCs w:val="18"/>
                    </w:rPr>
                  </w:pPr>
                </w:p>
              </w:tc>
              <w:tc>
                <w:tcPr>
                  <w:tcW w:w="263" w:type="pct"/>
                  <w:vMerge w:val="continue"/>
                  <w:shd w:val="clear" w:color="auto" w:fill="auto"/>
                  <w:vAlign w:val="center"/>
                </w:tcPr>
                <w:p>
                  <w:pPr>
                    <w:pStyle w:val="253"/>
                    <w:rPr>
                      <w:rFonts w:eastAsia="仿宋_GB2312"/>
                      <w:color w:val="000000"/>
                      <w:sz w:val="18"/>
                      <w:szCs w:val="18"/>
                    </w:rPr>
                  </w:pPr>
                </w:p>
              </w:tc>
              <w:tc>
                <w:tcPr>
                  <w:tcW w:w="328" w:type="pct"/>
                  <w:vMerge w:val="continue"/>
                  <w:shd w:val="clear" w:color="auto" w:fill="auto"/>
                  <w:vAlign w:val="center"/>
                </w:tcPr>
                <w:p>
                  <w:pPr>
                    <w:pStyle w:val="253"/>
                    <w:rPr>
                      <w:rFonts w:eastAsia="仿宋_GB2312"/>
                      <w:color w:val="000000"/>
                      <w:sz w:val="18"/>
                      <w:szCs w:val="18"/>
                    </w:rPr>
                  </w:pPr>
                </w:p>
              </w:tc>
              <w:tc>
                <w:tcPr>
                  <w:tcW w:w="450" w:type="pct"/>
                  <w:vMerge w:val="continue"/>
                  <w:shd w:val="clear" w:color="auto" w:fill="auto"/>
                  <w:vAlign w:val="center"/>
                </w:tcPr>
                <w:p>
                  <w:pPr>
                    <w:pStyle w:val="253"/>
                    <w:rPr>
                      <w:rFonts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华阳佳园</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664461.53</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3546899.81</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w:t>
                  </w:r>
                  <w:r>
                    <w:rPr>
                      <w:rFonts w:ascii="Times New Roman" w:hAnsi="Times New Roman" w:eastAsia="仿宋_GB2312"/>
                      <w:color w:val="000000"/>
                      <w:sz w:val="18"/>
                      <w:szCs w:val="18"/>
                    </w:rPr>
                    <w:t>5800人</w:t>
                  </w:r>
                </w:p>
              </w:tc>
              <w:tc>
                <w:tcPr>
                  <w:tcW w:w="263" w:type="pct"/>
                  <w:vMerge w:val="restart"/>
                  <w:shd w:val="clear" w:color="auto" w:fill="auto"/>
                  <w:vAlign w:val="center"/>
                </w:tcPr>
                <w:p>
                  <w:pPr>
                    <w:pStyle w:val="253"/>
                    <w:rPr>
                      <w:rFonts w:eastAsia="仿宋_GB2312"/>
                      <w:color w:val="000000"/>
                      <w:sz w:val="18"/>
                      <w:szCs w:val="18"/>
                    </w:rPr>
                  </w:pPr>
                  <w:r>
                    <w:rPr>
                      <w:rFonts w:eastAsia="仿宋_GB2312"/>
                      <w:color w:val="000000"/>
                      <w:sz w:val="18"/>
                      <w:szCs w:val="18"/>
                    </w:rPr>
                    <w:t>二类</w:t>
                  </w: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凤凰街道办</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664638.18</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3547004.98</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政府</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办公人员约</w:t>
                  </w:r>
                  <w:r>
                    <w:rPr>
                      <w:rFonts w:ascii="Times New Roman" w:hAnsi="Times New Roman" w:eastAsia="仿宋_GB2312"/>
                      <w:color w:val="000000"/>
                      <w:sz w:val="18"/>
                      <w:szCs w:val="18"/>
                    </w:rPr>
                    <w:t>100</w:t>
                  </w:r>
                  <w:r>
                    <w:rPr>
                      <w:rFonts w:hint="eastAsia" w:ascii="Times New Roman" w:hAnsi="Times New Roman" w:eastAsia="仿宋_GB2312"/>
                      <w:color w:val="000000"/>
                      <w:sz w:val="18"/>
                      <w:szCs w:val="18"/>
                    </w:rPr>
                    <w:t>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3</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苏宁乐瑰园</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664800.55</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3546990.95</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约2</w:t>
                  </w:r>
                  <w:r>
                    <w:rPr>
                      <w:rFonts w:ascii="Times New Roman" w:hAnsi="Times New Roman" w:eastAsia="仿宋_GB2312"/>
                      <w:color w:val="000000"/>
                      <w:sz w:val="18"/>
                      <w:szCs w:val="18"/>
                    </w:rPr>
                    <w:t>100人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4</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中海凤凰熙岸</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665129.75</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3546936.79</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4000人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8"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5</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江苏卫生健康职业学院</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664784.64</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3546846.73</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学校</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w:t>
                  </w:r>
                  <w:r>
                    <w:rPr>
                      <w:rFonts w:ascii="Times New Roman" w:hAnsi="Times New Roman" w:eastAsia="仿宋_GB2312"/>
                      <w:color w:val="000000"/>
                      <w:sz w:val="18"/>
                      <w:szCs w:val="18"/>
                    </w:rPr>
                    <w:t>5000人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6</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教工新村</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664867.60</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3546855.21</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w:t>
                  </w:r>
                  <w:r>
                    <w:rPr>
                      <w:rFonts w:ascii="Times New Roman" w:hAnsi="Times New Roman" w:eastAsia="仿宋_GB2312"/>
                      <w:color w:val="000000"/>
                      <w:sz w:val="18"/>
                      <w:szCs w:val="18"/>
                    </w:rPr>
                    <w:t>1300人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7</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南京市芳草园小学凤凰校区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665294.95</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3546747.91</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学校</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w:t>
                  </w:r>
                  <w:r>
                    <w:rPr>
                      <w:rFonts w:ascii="Times New Roman" w:hAnsi="Times New Roman" w:eastAsia="仿宋_GB2312"/>
                      <w:color w:val="000000"/>
                      <w:sz w:val="18"/>
                      <w:szCs w:val="18"/>
                    </w:rPr>
                    <w:t>3700人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8</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凤凰西街188号</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664384.71</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3546636.82</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w:t>
                  </w:r>
                  <w:r>
                    <w:rPr>
                      <w:rFonts w:ascii="Times New Roman" w:hAnsi="Times New Roman" w:eastAsia="仿宋_GB2312"/>
                      <w:color w:val="000000"/>
                      <w:sz w:val="18"/>
                      <w:szCs w:val="18"/>
                    </w:rPr>
                    <w:t>1700人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9</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名城世纪园</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664482.16</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3546626.49</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400人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10</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南京商业技工学校南校区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664577.08</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3546647.06</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学校</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w:t>
                  </w:r>
                  <w:r>
                    <w:rPr>
                      <w:rFonts w:ascii="Times New Roman" w:hAnsi="Times New Roman" w:eastAsia="仿宋_GB2312"/>
                      <w:color w:val="000000"/>
                      <w:sz w:val="18"/>
                      <w:szCs w:val="18"/>
                    </w:rPr>
                    <w:t>6000人</w:t>
                  </w:r>
                </w:p>
              </w:tc>
              <w:tc>
                <w:tcPr>
                  <w:tcW w:w="263" w:type="pct"/>
                  <w:vMerge w:val="continue"/>
                  <w:shd w:val="clear" w:color="auto" w:fill="auto"/>
                  <w:vAlign w:val="center"/>
                </w:tcPr>
                <w:p>
                  <w:pPr>
                    <w:pStyle w:val="253"/>
                    <w:rPr>
                      <w:rFonts w:eastAsia="仿宋_GB2312"/>
                      <w:color w:val="000000"/>
                      <w:sz w:val="18"/>
                      <w:szCs w:val="18"/>
                      <w:highlight w:val="yellow"/>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11</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凤凰西街小区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664702.71</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3546649.09</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12</w:t>
                  </w:r>
                </w:p>
              </w:tc>
              <w:tc>
                <w:tcPr>
                  <w:tcW w:w="89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江苏省口腔医院第一门诊部</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664827.68</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3546691.56</w:t>
                  </w:r>
                </w:p>
              </w:tc>
              <w:tc>
                <w:tcPr>
                  <w:tcW w:w="478" w:type="pct"/>
                  <w:shd w:val="clear" w:color="auto" w:fill="auto"/>
                  <w:vAlign w:val="center"/>
                </w:tcPr>
                <w:p>
                  <w:pPr>
                    <w:pStyle w:val="253"/>
                    <w:rPr>
                      <w:rFonts w:eastAsia="仿宋_GB2312"/>
                      <w:color w:val="000000"/>
                      <w:sz w:val="18"/>
                      <w:szCs w:val="18"/>
                    </w:rPr>
                  </w:pPr>
                  <w:r>
                    <w:rPr>
                      <w:rFonts w:hint="eastAsia" w:eastAsia="仿宋_GB2312"/>
                      <w:color w:val="000000"/>
                      <w:sz w:val="18"/>
                      <w:szCs w:val="18"/>
                    </w:rPr>
                    <w:t>医院</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医护人员约</w:t>
                  </w:r>
                  <w:r>
                    <w:rPr>
                      <w:rFonts w:ascii="Times New Roman" w:hAnsi="Times New Roman" w:eastAsia="仿宋_GB2312"/>
                      <w:color w:val="000000"/>
                      <w:sz w:val="18"/>
                      <w:szCs w:val="18"/>
                    </w:rPr>
                    <w:t>100</w:t>
                  </w:r>
                  <w:r>
                    <w:rPr>
                      <w:rFonts w:hint="eastAsia" w:ascii="Times New Roman" w:hAnsi="Times New Roman" w:eastAsia="仿宋_GB2312"/>
                      <w:color w:val="000000"/>
                      <w:sz w:val="18"/>
                      <w:szCs w:val="18"/>
                    </w:rPr>
                    <w:t>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13</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莫愁花园公寓</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664246.59</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3546403.78</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14</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凤凰三村西区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664441.42</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3546387.88</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w:t>
                  </w:r>
                  <w:r>
                    <w:rPr>
                      <w:rFonts w:ascii="Times New Roman" w:hAnsi="Times New Roman" w:eastAsia="仿宋_GB2312"/>
                      <w:color w:val="000000"/>
                      <w:sz w:val="18"/>
                      <w:szCs w:val="18"/>
                    </w:rPr>
                    <w:t>1200人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15</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南京市人防宿舍</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664590.21</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3546461.67</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约5</w:t>
                  </w:r>
                  <w:r>
                    <w:rPr>
                      <w:rFonts w:ascii="Times New Roman" w:hAnsi="Times New Roman" w:eastAsia="仿宋_GB2312"/>
                      <w:color w:val="000000"/>
                      <w:sz w:val="18"/>
                      <w:szCs w:val="18"/>
                    </w:rPr>
                    <w:t>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16</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凤凰三村东区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664711.30</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3546368.44</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800人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17</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南京审计大学</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664909.82</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3546375.22</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学校</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师生约8</w:t>
                  </w:r>
                  <w:r>
                    <w:rPr>
                      <w:rFonts w:ascii="Times New Roman" w:hAnsi="Times New Roman" w:eastAsia="仿宋_GB2312"/>
                      <w:color w:val="000000"/>
                      <w:sz w:val="18"/>
                      <w:szCs w:val="18"/>
                    </w:rPr>
                    <w:t>000</w:t>
                  </w:r>
                  <w:r>
                    <w:rPr>
                      <w:rFonts w:hint="eastAsia" w:ascii="Times New Roman" w:hAnsi="Times New Roman" w:eastAsia="仿宋_GB2312"/>
                      <w:color w:val="000000"/>
                      <w:sz w:val="18"/>
                      <w:szCs w:val="18"/>
                    </w:rPr>
                    <w:t>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18</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凤凰西街223号</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665037.11</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3546524.81</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19</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凤凰西街229号</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665130.36</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3546523.94</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20</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龙凤玫瑰园</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665258.80</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3546602.17</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约2</w:t>
                  </w:r>
                  <w:r>
                    <w:rPr>
                      <w:rFonts w:ascii="Times New Roman" w:hAnsi="Times New Roman" w:eastAsia="仿宋_GB2312"/>
                      <w:color w:val="000000"/>
                      <w:sz w:val="18"/>
                      <w:szCs w:val="18"/>
                    </w:rPr>
                    <w:t>500人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21</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莫愁新寓社区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665253.38</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3546311.78</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0000人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22</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茶西里小区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664617.91</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3546001.67</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23</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茶花里小区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664719.53</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3545984.28</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约2</w:t>
                  </w:r>
                  <w:r>
                    <w:rPr>
                      <w:rFonts w:ascii="Times New Roman" w:hAnsi="Times New Roman" w:eastAsia="仿宋_GB2312"/>
                      <w:color w:val="000000"/>
                      <w:sz w:val="18"/>
                      <w:szCs w:val="18"/>
                    </w:rPr>
                    <w:t>400人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24</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梅花里小区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664941.29</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3545933.14</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800人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25</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南京晓庄学院</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664897.92</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3546108.52</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学校</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w:t>
                  </w:r>
                  <w:r>
                    <w:rPr>
                      <w:rFonts w:ascii="Times New Roman" w:hAnsi="Times New Roman" w:eastAsia="仿宋_GB2312"/>
                      <w:color w:val="000000"/>
                      <w:sz w:val="18"/>
                      <w:szCs w:val="18"/>
                    </w:rPr>
                    <w:t>6000人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45" w:type="pct"/>
                  <w:shd w:val="clear" w:color="auto" w:fill="auto"/>
                  <w:vAlign w:val="center"/>
                </w:tcPr>
                <w:p>
                  <w:pPr>
                    <w:pStyle w:val="253"/>
                    <w:rPr>
                      <w:rFonts w:eastAsia="仿宋_GB2312"/>
                      <w:color w:val="000000"/>
                      <w:sz w:val="18"/>
                      <w:szCs w:val="18"/>
                    </w:rPr>
                  </w:pPr>
                  <w:r>
                    <w:rPr>
                      <w:rFonts w:eastAsia="仿宋_GB2312"/>
                      <w:color w:val="000000"/>
                      <w:sz w:val="18"/>
                      <w:szCs w:val="18"/>
                    </w:rPr>
                    <w:t>26</w:t>
                  </w:r>
                </w:p>
              </w:tc>
              <w:tc>
                <w:tcPr>
                  <w:tcW w:w="89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玉兰里小区</w:t>
                  </w:r>
                </w:p>
              </w:tc>
              <w:tc>
                <w:tcPr>
                  <w:tcW w:w="607" w:type="pct"/>
                  <w:shd w:val="clear" w:color="auto" w:fill="auto"/>
                  <w:vAlign w:val="center"/>
                </w:tcPr>
                <w:p>
                  <w:pPr>
                    <w:pStyle w:val="253"/>
                    <w:rPr>
                      <w:rFonts w:eastAsia="仿宋_GB2312"/>
                      <w:color w:val="000000"/>
                      <w:sz w:val="18"/>
                      <w:szCs w:val="18"/>
                    </w:rPr>
                  </w:pPr>
                  <w:r>
                    <w:rPr>
                      <w:rFonts w:eastAsia="仿宋_GB2312"/>
                      <w:color w:val="000000"/>
                      <w:sz w:val="18"/>
                      <w:szCs w:val="18"/>
                    </w:rPr>
                    <w:t>665107.36</w:t>
                  </w:r>
                </w:p>
              </w:tc>
              <w:tc>
                <w:tcPr>
                  <w:tcW w:w="689" w:type="pct"/>
                  <w:shd w:val="clear" w:color="auto" w:fill="auto"/>
                  <w:vAlign w:val="center"/>
                </w:tcPr>
                <w:p>
                  <w:pPr>
                    <w:pStyle w:val="253"/>
                    <w:rPr>
                      <w:rFonts w:eastAsia="仿宋_GB2312"/>
                      <w:color w:val="000000"/>
                      <w:sz w:val="18"/>
                      <w:szCs w:val="18"/>
                    </w:rPr>
                  </w:pPr>
                  <w:r>
                    <w:rPr>
                      <w:rFonts w:eastAsia="仿宋_GB2312"/>
                      <w:color w:val="000000"/>
                      <w:sz w:val="18"/>
                      <w:szCs w:val="18"/>
                    </w:rPr>
                    <w:t>3546066.70</w:t>
                  </w:r>
                </w:p>
              </w:tc>
              <w:tc>
                <w:tcPr>
                  <w:tcW w:w="478" w:type="pct"/>
                  <w:shd w:val="clear" w:color="auto" w:fill="auto"/>
                  <w:vAlign w:val="center"/>
                </w:tcPr>
                <w:p>
                  <w:pPr>
                    <w:pStyle w:val="253"/>
                    <w:rPr>
                      <w:rFonts w:eastAsia="仿宋_GB2312"/>
                      <w:color w:val="000000"/>
                      <w:sz w:val="18"/>
                      <w:szCs w:val="18"/>
                    </w:rPr>
                  </w:pPr>
                  <w:r>
                    <w:rPr>
                      <w:rFonts w:eastAsia="仿宋_GB2312"/>
                      <w:color w:val="000000"/>
                      <w:sz w:val="18"/>
                      <w:szCs w:val="18"/>
                    </w:rPr>
                    <w:t>居住区</w:t>
                  </w:r>
                </w:p>
              </w:tc>
              <w:tc>
                <w:tcPr>
                  <w:tcW w:w="1043"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900人</w:t>
                  </w:r>
                </w:p>
              </w:tc>
              <w:tc>
                <w:tcPr>
                  <w:tcW w:w="263" w:type="pct"/>
                  <w:vMerge w:val="continue"/>
                  <w:shd w:val="clear" w:color="auto" w:fill="auto"/>
                  <w:vAlign w:val="center"/>
                </w:tcPr>
                <w:p>
                  <w:pPr>
                    <w:pStyle w:val="253"/>
                    <w:rPr>
                      <w:rFonts w:eastAsia="仿宋_GB2312"/>
                      <w:color w:val="000000"/>
                      <w:sz w:val="18"/>
                      <w:szCs w:val="18"/>
                    </w:rPr>
                  </w:pPr>
                </w:p>
              </w:tc>
              <w:tc>
                <w:tcPr>
                  <w:tcW w:w="328"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SE</w:t>
                  </w:r>
                </w:p>
              </w:tc>
              <w:tc>
                <w:tcPr>
                  <w:tcW w:w="45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430</w:t>
                  </w:r>
                </w:p>
              </w:tc>
            </w:tr>
          </w:tbl>
          <w:p>
            <w:pPr>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表3-3  地表水、声环境及生态环境保护目标一览表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471"/>
              <w:gridCol w:w="692"/>
              <w:gridCol w:w="728"/>
              <w:gridCol w:w="1707"/>
              <w:gridCol w:w="1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41" w:type="pct"/>
                  <w:shd w:val="clear" w:color="auto" w:fill="auto"/>
                  <w:vAlign w:val="center"/>
                </w:tcPr>
                <w:p>
                  <w:pPr>
                    <w:jc w:val="center"/>
                    <w:rPr>
                      <w:rFonts w:ascii="Times New Roman" w:hAnsi="Times New Roman" w:eastAsia="仿宋_GB2312"/>
                      <w:b/>
                      <w:bCs/>
                      <w:color w:val="000000"/>
                      <w:sz w:val="18"/>
                      <w:szCs w:val="18"/>
                    </w:rPr>
                  </w:pPr>
                  <w:bookmarkStart w:id="6" w:name="_Hlk37939413"/>
                  <w:r>
                    <w:rPr>
                      <w:rFonts w:ascii="Times New Roman" w:hAnsi="Times New Roman" w:eastAsia="仿宋_GB2312"/>
                      <w:b/>
                      <w:bCs/>
                      <w:color w:val="000000"/>
                      <w:sz w:val="18"/>
                      <w:szCs w:val="18"/>
                    </w:rPr>
                    <w:t>环境要素</w:t>
                  </w:r>
                </w:p>
              </w:tc>
              <w:tc>
                <w:tcPr>
                  <w:tcW w:w="1507" w:type="pct"/>
                  <w:shd w:val="clear" w:color="auto" w:fill="auto"/>
                  <w:vAlign w:val="center"/>
                </w:tcPr>
                <w:p>
                  <w:pPr>
                    <w:jc w:val="center"/>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保护目标名称</w:t>
                  </w:r>
                </w:p>
              </w:tc>
              <w:tc>
                <w:tcPr>
                  <w:tcW w:w="437" w:type="pct"/>
                  <w:shd w:val="clear" w:color="auto" w:fill="auto"/>
                  <w:vAlign w:val="center"/>
                </w:tcPr>
                <w:p>
                  <w:pPr>
                    <w:jc w:val="center"/>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方位</w:t>
                  </w:r>
                </w:p>
              </w:tc>
              <w:tc>
                <w:tcPr>
                  <w:tcW w:w="335" w:type="pct"/>
                  <w:shd w:val="clear" w:color="auto" w:fill="auto"/>
                  <w:vAlign w:val="center"/>
                </w:tcPr>
                <w:p>
                  <w:pPr>
                    <w:jc w:val="center"/>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距离（m）</w:t>
                  </w:r>
                </w:p>
              </w:tc>
              <w:tc>
                <w:tcPr>
                  <w:tcW w:w="1047" w:type="pct"/>
                  <w:shd w:val="clear" w:color="auto" w:fill="auto"/>
                  <w:vAlign w:val="center"/>
                </w:tcPr>
                <w:p>
                  <w:pPr>
                    <w:jc w:val="center"/>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规模</w:t>
                  </w:r>
                </w:p>
              </w:tc>
              <w:tc>
                <w:tcPr>
                  <w:tcW w:w="1133" w:type="pct"/>
                  <w:shd w:val="clear" w:color="auto" w:fill="auto"/>
                  <w:vAlign w:val="center"/>
                </w:tcPr>
                <w:p>
                  <w:pPr>
                    <w:jc w:val="center"/>
                    <w:rPr>
                      <w:rFonts w:ascii="Times New Roman" w:hAnsi="Times New Roman" w:eastAsia="仿宋_GB2312"/>
                      <w:b/>
                      <w:bCs/>
                      <w:color w:val="000000"/>
                      <w:sz w:val="18"/>
                      <w:szCs w:val="18"/>
                    </w:rPr>
                  </w:pPr>
                  <w:r>
                    <w:rPr>
                      <w:rFonts w:ascii="Times New Roman" w:hAnsi="Times New Roman" w:eastAsia="仿宋_GB2312"/>
                      <w:b/>
                      <w:bCs/>
                      <w:color w:val="000000"/>
                      <w:sz w:val="18"/>
                      <w:szCs w:val="18"/>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41" w:type="pct"/>
                  <w:vMerge w:val="restar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地表水</w:t>
                  </w: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秦淮河</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NE</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750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大河</w:t>
                  </w:r>
                </w:p>
              </w:tc>
              <w:tc>
                <w:tcPr>
                  <w:tcW w:w="1133" w:type="pct"/>
                  <w:vMerge w:val="restar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秦淮河和莫愁湖执行</w:t>
                  </w:r>
                  <w:r>
                    <w:rPr>
                      <w:rFonts w:ascii="Times New Roman" w:hAnsi="Times New Roman" w:eastAsia="仿宋_GB2312"/>
                      <w:color w:val="000000"/>
                      <w:sz w:val="18"/>
                      <w:szCs w:val="18"/>
                    </w:rPr>
                    <w:t>《地表水环境质量标准》（GB3838-2002）Ⅳ类标准</w:t>
                  </w:r>
                  <w:r>
                    <w:rPr>
                      <w:rFonts w:hint="eastAsia" w:ascii="Times New Roman" w:hAnsi="Times New Roman" w:eastAsia="仿宋_GB2312"/>
                      <w:color w:val="000000"/>
                      <w:sz w:val="18"/>
                      <w:szCs w:val="18"/>
                    </w:rPr>
                    <w:t>。长江南京段执行</w:t>
                  </w:r>
                  <w:r>
                    <w:rPr>
                      <w:rFonts w:ascii="Times New Roman" w:hAnsi="Times New Roman" w:eastAsia="仿宋_GB2312"/>
                      <w:color w:val="000000"/>
                      <w:sz w:val="18"/>
                      <w:szCs w:val="18"/>
                    </w:rPr>
                    <w:t>《地表水环境质量标准》（GB3838-2002）Ⅱ类标准</w:t>
                  </w:r>
                  <w:r>
                    <w:rPr>
                      <w:rFonts w:hint="eastAsia" w:ascii="Times New Roman" w:hAnsi="Times New Roman" w:eastAsia="仿宋_GB2312"/>
                      <w:color w:val="000000"/>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莫愁湖</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SE</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1000</w:t>
                  </w:r>
                </w:p>
              </w:tc>
              <w:tc>
                <w:tcPr>
                  <w:tcW w:w="104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长江南京段</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2600</w:t>
                  </w:r>
                </w:p>
              </w:tc>
              <w:tc>
                <w:tcPr>
                  <w:tcW w:w="1047" w:type="pct"/>
                  <w:shd w:val="clear" w:color="auto" w:fill="auto"/>
                  <w:vAlign w:val="center"/>
                </w:tcPr>
                <w:p>
                  <w:pPr>
                    <w:ind w:left="-105" w:leftChars="-50" w:right="-105" w:rightChars="-5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大河</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restar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声环境</w:t>
                  </w:r>
                </w:p>
              </w:tc>
              <w:tc>
                <w:tcPr>
                  <w:tcW w:w="150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江苏省口腔医院第一门诊部</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120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医护人员约2</w:t>
                  </w:r>
                  <w:r>
                    <w:rPr>
                      <w:rFonts w:ascii="Times New Roman" w:hAnsi="Times New Roman" w:eastAsia="仿宋_GB2312"/>
                      <w:color w:val="000000"/>
                      <w:sz w:val="18"/>
                      <w:szCs w:val="18"/>
                    </w:rPr>
                    <w:t>00</w:t>
                  </w:r>
                  <w:r>
                    <w:rPr>
                      <w:rFonts w:hint="eastAsia" w:ascii="Times New Roman" w:hAnsi="Times New Roman" w:eastAsia="仿宋_GB2312"/>
                      <w:color w:val="000000"/>
                      <w:sz w:val="18"/>
                      <w:szCs w:val="18"/>
                    </w:rPr>
                    <w:t>人</w:t>
                  </w:r>
                </w:p>
              </w:tc>
              <w:tc>
                <w:tcPr>
                  <w:tcW w:w="1133" w:type="pct"/>
                  <w:vMerge w:val="restar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临街建筑以高于三层楼房以上（含三层）的建筑为主，将第一排建筑物面向道路一侧至道路边界线(道路红线)的区域执行</w:t>
                  </w:r>
                  <w:r>
                    <w:rPr>
                      <w:rFonts w:ascii="Times New Roman" w:hAnsi="Times New Roman" w:eastAsia="仿宋_GB2312"/>
                      <w:color w:val="000000"/>
                      <w:sz w:val="18"/>
                      <w:szCs w:val="18"/>
                    </w:rPr>
                    <w:t>《声环境质量标准》（GB3096-2008）中</w:t>
                  </w:r>
                  <w:r>
                    <w:rPr>
                      <w:rFonts w:hint="eastAsia" w:ascii="Times New Roman" w:hAnsi="Times New Roman" w:eastAsia="仿宋_GB2312"/>
                      <w:color w:val="000000"/>
                      <w:sz w:val="18"/>
                      <w:szCs w:val="18"/>
                    </w:rPr>
                    <w:t>4a类标准。其余执行</w:t>
                  </w:r>
                  <w:r>
                    <w:rPr>
                      <w:rFonts w:ascii="Times New Roman" w:hAnsi="Times New Roman" w:eastAsia="仿宋_GB2312"/>
                      <w:color w:val="000000"/>
                      <w:sz w:val="18"/>
                      <w:szCs w:val="18"/>
                    </w:rPr>
                    <w:t>《声环境质量标准》（GB3096-2008）中2类标准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凤凰西街223号</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SE</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110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00人</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南京审计大学</w:t>
                  </w:r>
                </w:p>
              </w:tc>
              <w:tc>
                <w:tcPr>
                  <w:tcW w:w="43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S</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w:t>
                  </w:r>
                  <w:r>
                    <w:rPr>
                      <w:rFonts w:ascii="Times New Roman" w:hAnsi="Times New Roman" w:eastAsia="仿宋_GB2312"/>
                      <w:color w:val="000000"/>
                      <w:sz w:val="18"/>
                      <w:szCs w:val="18"/>
                    </w:rPr>
                    <w:t>1200</w:t>
                  </w:r>
                  <w:r>
                    <w:rPr>
                      <w:rFonts w:hint="eastAsia" w:ascii="Times New Roman" w:hAnsi="Times New Roman" w:eastAsia="仿宋_GB2312"/>
                      <w:color w:val="000000"/>
                      <w:sz w:val="18"/>
                      <w:szCs w:val="18"/>
                    </w:rPr>
                    <w:t>人</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凤凰西街小区</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约6</w:t>
                  </w:r>
                  <w:r>
                    <w:rPr>
                      <w:rFonts w:ascii="Times New Roman" w:hAnsi="Times New Roman" w:eastAsia="仿宋_GB2312"/>
                      <w:color w:val="000000"/>
                      <w:sz w:val="18"/>
                      <w:szCs w:val="18"/>
                    </w:rPr>
                    <w:t>000人</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凤凰三村东区</w:t>
                  </w:r>
                </w:p>
              </w:tc>
              <w:tc>
                <w:tcPr>
                  <w:tcW w:w="43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S</w:t>
                  </w:r>
                  <w:r>
                    <w:rPr>
                      <w:rFonts w:ascii="Times New Roman" w:hAnsi="Times New Roman" w:eastAsia="仿宋_GB2312"/>
                      <w:color w:val="000000"/>
                      <w:sz w:val="18"/>
                      <w:szCs w:val="18"/>
                    </w:rPr>
                    <w:t>W</w:t>
                  </w:r>
                </w:p>
              </w:tc>
              <w:tc>
                <w:tcPr>
                  <w:tcW w:w="33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r>
                    <w:rPr>
                      <w:rFonts w:ascii="Times New Roman" w:hAnsi="Times New Roman" w:eastAsia="仿宋_GB2312"/>
                      <w:color w:val="000000"/>
                      <w:sz w:val="18"/>
                      <w:szCs w:val="18"/>
                    </w:rPr>
                    <w:t>50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约1</w:t>
                  </w:r>
                  <w:r>
                    <w:rPr>
                      <w:rFonts w:ascii="Times New Roman" w:hAnsi="Times New Roman" w:eastAsia="仿宋_GB2312"/>
                      <w:color w:val="000000"/>
                      <w:sz w:val="18"/>
                      <w:szCs w:val="18"/>
                    </w:rPr>
                    <w:t>800</w:t>
                  </w:r>
                  <w:r>
                    <w:rPr>
                      <w:rFonts w:hint="eastAsia" w:ascii="Times New Roman" w:hAnsi="Times New Roman" w:eastAsia="仿宋_GB2312"/>
                      <w:color w:val="000000"/>
                      <w:sz w:val="18"/>
                      <w:szCs w:val="18"/>
                    </w:rPr>
                    <w:t>人</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vMerge w:val="continue"/>
                  <w:shd w:val="clear" w:color="auto" w:fill="auto"/>
                  <w:vAlign w:val="center"/>
                </w:tcPr>
                <w:p>
                  <w:pPr>
                    <w:jc w:val="center"/>
                    <w:rPr>
                      <w:rFonts w:ascii="Times New Roman" w:hAnsi="Times New Roman" w:eastAsia="仿宋_GB2312"/>
                      <w:color w:val="000000"/>
                      <w:sz w:val="18"/>
                      <w:szCs w:val="18"/>
                    </w:rPr>
                  </w:pPr>
                </w:p>
              </w:tc>
              <w:tc>
                <w:tcPr>
                  <w:tcW w:w="150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南京商业技工学校南校区</w:t>
                  </w:r>
                </w:p>
              </w:tc>
              <w:tc>
                <w:tcPr>
                  <w:tcW w:w="43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N</w:t>
                  </w:r>
                  <w:r>
                    <w:rPr>
                      <w:rFonts w:ascii="Times New Roman" w:hAnsi="Times New Roman" w:eastAsia="仿宋_GB2312"/>
                      <w:color w:val="000000"/>
                      <w:sz w:val="18"/>
                      <w:szCs w:val="18"/>
                    </w:rPr>
                    <w:t>W</w:t>
                  </w:r>
                </w:p>
              </w:tc>
              <w:tc>
                <w:tcPr>
                  <w:tcW w:w="33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r>
                    <w:rPr>
                      <w:rFonts w:ascii="Times New Roman" w:hAnsi="Times New Roman" w:eastAsia="仿宋_GB2312"/>
                      <w:color w:val="000000"/>
                      <w:sz w:val="18"/>
                      <w:szCs w:val="18"/>
                    </w:rPr>
                    <w:t>60</w:t>
                  </w:r>
                </w:p>
              </w:tc>
              <w:tc>
                <w:tcPr>
                  <w:tcW w:w="104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师生约1</w:t>
                  </w:r>
                  <w:r>
                    <w:rPr>
                      <w:rFonts w:ascii="Times New Roman" w:hAnsi="Times New Roman" w:eastAsia="仿宋_GB2312"/>
                      <w:color w:val="000000"/>
                      <w:sz w:val="18"/>
                      <w:szCs w:val="18"/>
                    </w:rPr>
                    <w:t>000</w:t>
                  </w:r>
                  <w:r>
                    <w:rPr>
                      <w:rFonts w:hint="eastAsia" w:ascii="Times New Roman" w:hAnsi="Times New Roman" w:eastAsia="仿宋_GB2312"/>
                      <w:color w:val="000000"/>
                      <w:sz w:val="18"/>
                      <w:szCs w:val="18"/>
                    </w:rPr>
                    <w:t>人</w:t>
                  </w:r>
                </w:p>
              </w:tc>
              <w:tc>
                <w:tcPr>
                  <w:tcW w:w="1133"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41"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生态</w:t>
                  </w:r>
                </w:p>
              </w:tc>
              <w:tc>
                <w:tcPr>
                  <w:tcW w:w="150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秦淮河（南京市区）洪水调蓄区</w:t>
                  </w:r>
                </w:p>
              </w:tc>
              <w:tc>
                <w:tcPr>
                  <w:tcW w:w="43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NW</w:t>
                  </w:r>
                </w:p>
              </w:tc>
              <w:tc>
                <w:tcPr>
                  <w:tcW w:w="33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730</w:t>
                  </w:r>
                </w:p>
              </w:tc>
              <w:tc>
                <w:tcPr>
                  <w:tcW w:w="104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生态空间管控区域面积3.43km</w:t>
                  </w:r>
                  <w:r>
                    <w:rPr>
                      <w:rFonts w:ascii="Times New Roman" w:hAnsi="Times New Roman" w:eastAsia="仿宋_GB2312"/>
                      <w:color w:val="000000"/>
                      <w:sz w:val="18"/>
                      <w:szCs w:val="18"/>
                      <w:vertAlign w:val="superscript"/>
                    </w:rPr>
                    <w:t>2</w:t>
                  </w:r>
                </w:p>
              </w:tc>
              <w:tc>
                <w:tcPr>
                  <w:tcW w:w="1133"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洪水调蓄</w:t>
                  </w:r>
                </w:p>
              </w:tc>
            </w:tr>
            <w:bookmarkEnd w:id="6"/>
          </w:tbl>
          <w:p>
            <w:pPr>
              <w:pStyle w:val="253"/>
              <w:jc w:val="both"/>
              <w:rPr>
                <w:rFonts w:eastAsia="仿宋_GB2312"/>
                <w:color w:val="000000"/>
              </w:rPr>
            </w:pPr>
          </w:p>
        </w:tc>
      </w:tr>
    </w:tbl>
    <w:p>
      <w:pPr>
        <w:spacing w:line="480" w:lineRule="exact"/>
        <w:rPr>
          <w:rFonts w:ascii="Times New Roman" w:hAnsi="Times New Roman" w:eastAsia="仿宋_GB2312"/>
          <w:color w:val="000000"/>
          <w:sz w:val="24"/>
          <w:szCs w:val="24"/>
        </w:rPr>
        <w:sectPr>
          <w:pgSz w:w="11906" w:h="16838"/>
          <w:pgMar w:top="1440" w:right="1797" w:bottom="1440" w:left="1797" w:header="851" w:footer="992" w:gutter="0"/>
          <w:cols w:space="720" w:num="1"/>
          <w:docGrid w:linePitch="312" w:charSpace="0"/>
        </w:sectPr>
      </w:pP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四、评价适用标准</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0" w:hRule="atLeast"/>
        </w:trPr>
        <w:tc>
          <w:tcPr>
            <w:tcW w:w="457" w:type="dxa"/>
            <w:vAlign w:val="center"/>
          </w:tcPr>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环</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境</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质</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量</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标</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color w:val="000000"/>
                <w:sz w:val="24"/>
                <w:szCs w:val="24"/>
              </w:rPr>
            </w:pPr>
            <w:r>
              <w:rPr>
                <w:rFonts w:ascii="Times New Roman" w:hAnsi="Times New Roman" w:eastAsia="仿宋_GB2312"/>
                <w:b/>
                <w:bCs/>
                <w:color w:val="000000"/>
                <w:sz w:val="24"/>
                <w:szCs w:val="24"/>
              </w:rPr>
              <w:t>准</w:t>
            </w:r>
          </w:p>
        </w:tc>
        <w:tc>
          <w:tcPr>
            <w:tcW w:w="8072" w:type="dxa"/>
          </w:tcPr>
          <w:p>
            <w:pPr>
              <w:adjustRightInd w:val="0"/>
              <w:snapToGrid w:val="0"/>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1、环境空气质量标准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根据南京市空气质量功能区划，项目所在地环境空气常规污染物执行《环境空气质量标准》（GB3095-2012）及其2018修改单中</w:t>
            </w:r>
            <w:r>
              <w:rPr>
                <w:rFonts w:hint="eastAsia" w:ascii="Times New Roman" w:hAnsi="Times New Roman" w:eastAsia="仿宋_GB2312"/>
                <w:color w:val="000000"/>
                <w:sz w:val="24"/>
                <w:szCs w:val="24"/>
              </w:rPr>
              <w:t>表1二级标准；氟化物执行</w:t>
            </w:r>
            <w:r>
              <w:rPr>
                <w:rFonts w:ascii="Times New Roman" w:hAnsi="Times New Roman" w:eastAsia="仿宋_GB2312"/>
                <w:color w:val="000000"/>
                <w:sz w:val="24"/>
                <w:szCs w:val="24"/>
              </w:rPr>
              <w:t>《环境空气质量标准》（GB3095-2012）及其2018修改单中</w:t>
            </w:r>
            <w:r>
              <w:rPr>
                <w:rFonts w:hint="eastAsia" w:ascii="Times New Roman" w:hAnsi="Times New Roman" w:eastAsia="仿宋_GB2312"/>
                <w:color w:val="000000"/>
                <w:sz w:val="24"/>
                <w:szCs w:val="24"/>
              </w:rPr>
              <w:t>表A.1二级标准；氯化氢、硫酸、总</w:t>
            </w:r>
            <w:r>
              <w:rPr>
                <w:rFonts w:ascii="Times New Roman" w:hAnsi="Times New Roman" w:eastAsia="仿宋_GB2312"/>
                <w:color w:val="000000"/>
                <w:sz w:val="24"/>
                <w:szCs w:val="24"/>
              </w:rPr>
              <w:t>挥发性有机物的质量标准执行《环境影响评价技术导则 大气环境》（HJ 2.2-2018）附录D相关浓度限值。具体指标见表4-1。</w:t>
            </w:r>
          </w:p>
          <w:p>
            <w:pPr>
              <w:adjustRightInd w:val="0"/>
              <w:snapToGrid w:val="0"/>
              <w:spacing w:line="480" w:lineRule="exact"/>
              <w:ind w:firstLine="7" w:firstLineChars="3"/>
              <w:jc w:val="center"/>
              <w:rPr>
                <w:rFonts w:ascii="Times New Roman" w:hAnsi="Times New Roman" w:eastAsia="仿宋_GB2312"/>
                <w:b/>
                <w:color w:val="000000"/>
                <w:sz w:val="24"/>
                <w:szCs w:val="24"/>
              </w:rPr>
            </w:pPr>
            <w:r>
              <w:rPr>
                <w:rFonts w:ascii="Times New Roman" w:hAnsi="Times New Roman" w:eastAsia="仿宋_GB2312"/>
                <w:b/>
                <w:color w:val="000000"/>
                <w:kern w:val="0"/>
                <w:sz w:val="24"/>
                <w:szCs w:val="24"/>
              </w:rPr>
              <w:t xml:space="preserve">表4-1 </w:t>
            </w:r>
            <w:r>
              <w:rPr>
                <w:rFonts w:ascii="Times New Roman" w:hAnsi="Times New Roman" w:eastAsia="仿宋_GB2312"/>
                <w:b/>
                <w:color w:val="000000"/>
                <w:sz w:val="24"/>
                <w:szCs w:val="24"/>
              </w:rPr>
              <w:t>大气污染物的浓度限值</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2159"/>
              <w:gridCol w:w="1274"/>
              <w:gridCol w:w="1075"/>
              <w:gridCol w:w="2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74" w:type="pct"/>
                  <w:shd w:val="clear" w:color="auto" w:fill="auto"/>
                  <w:vAlign w:val="center"/>
                </w:tcPr>
                <w:p>
                  <w:pPr>
                    <w:pStyle w:val="253"/>
                    <w:rPr>
                      <w:rFonts w:eastAsia="仿宋_GB2312"/>
                      <w:b/>
                      <w:color w:val="000000"/>
                    </w:rPr>
                  </w:pPr>
                  <w:r>
                    <w:rPr>
                      <w:rFonts w:eastAsia="仿宋_GB2312"/>
                      <w:b/>
                      <w:color w:val="000000"/>
                    </w:rPr>
                    <w:t>污染物</w:t>
                  </w:r>
                </w:p>
              </w:tc>
              <w:tc>
                <w:tcPr>
                  <w:tcW w:w="1374" w:type="pct"/>
                  <w:shd w:val="clear" w:color="auto" w:fill="auto"/>
                  <w:vAlign w:val="center"/>
                </w:tcPr>
                <w:p>
                  <w:pPr>
                    <w:pStyle w:val="253"/>
                    <w:rPr>
                      <w:rFonts w:eastAsia="仿宋_GB2312"/>
                      <w:b/>
                      <w:color w:val="000000"/>
                    </w:rPr>
                  </w:pPr>
                  <w:r>
                    <w:rPr>
                      <w:rFonts w:eastAsia="仿宋_GB2312"/>
                      <w:b/>
                      <w:color w:val="000000"/>
                    </w:rPr>
                    <w:t>取值时间</w:t>
                  </w:r>
                </w:p>
              </w:tc>
              <w:tc>
                <w:tcPr>
                  <w:tcW w:w="811" w:type="pct"/>
                  <w:shd w:val="clear" w:color="auto" w:fill="auto"/>
                  <w:vAlign w:val="center"/>
                </w:tcPr>
                <w:p>
                  <w:pPr>
                    <w:pStyle w:val="253"/>
                    <w:rPr>
                      <w:rFonts w:eastAsia="仿宋_GB2312"/>
                      <w:b/>
                      <w:color w:val="000000"/>
                    </w:rPr>
                  </w:pPr>
                  <w:r>
                    <w:rPr>
                      <w:rFonts w:eastAsia="仿宋_GB2312"/>
                      <w:b/>
                      <w:color w:val="000000"/>
                    </w:rPr>
                    <w:t>浓度限值</w:t>
                  </w:r>
                </w:p>
              </w:tc>
              <w:tc>
                <w:tcPr>
                  <w:tcW w:w="684" w:type="pct"/>
                  <w:shd w:val="clear" w:color="auto" w:fill="auto"/>
                  <w:vAlign w:val="center"/>
                </w:tcPr>
                <w:p>
                  <w:pPr>
                    <w:pStyle w:val="253"/>
                    <w:rPr>
                      <w:rFonts w:eastAsia="仿宋_GB2312"/>
                      <w:b/>
                      <w:color w:val="000000"/>
                    </w:rPr>
                  </w:pPr>
                  <w:r>
                    <w:rPr>
                      <w:rFonts w:eastAsia="仿宋_GB2312"/>
                      <w:b/>
                      <w:color w:val="000000"/>
                    </w:rPr>
                    <w:t>单位</w:t>
                  </w:r>
                </w:p>
              </w:tc>
              <w:tc>
                <w:tcPr>
                  <w:tcW w:w="1357" w:type="pct"/>
                  <w:shd w:val="clear" w:color="auto" w:fill="auto"/>
                  <w:vAlign w:val="center"/>
                </w:tcPr>
                <w:p>
                  <w:pPr>
                    <w:pStyle w:val="253"/>
                    <w:rPr>
                      <w:rFonts w:eastAsia="仿宋_GB2312"/>
                      <w:b/>
                      <w:color w:val="000000"/>
                    </w:rPr>
                  </w:pPr>
                  <w:r>
                    <w:rPr>
                      <w:rFonts w:eastAsia="仿宋_GB2312"/>
                      <w:b/>
                      <w:color w:val="00000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774" w:type="pct"/>
                  <w:vMerge w:val="restart"/>
                  <w:shd w:val="clear" w:color="auto" w:fill="auto"/>
                  <w:vAlign w:val="center"/>
                </w:tcPr>
                <w:p>
                  <w:pPr>
                    <w:pStyle w:val="253"/>
                    <w:rPr>
                      <w:rFonts w:eastAsia="仿宋_GB2312"/>
                      <w:color w:val="000000"/>
                    </w:rPr>
                  </w:pPr>
                  <w:r>
                    <w:rPr>
                      <w:rFonts w:eastAsia="仿宋_GB2312"/>
                      <w:color w:val="000000"/>
                    </w:rPr>
                    <w:t>SO</w:t>
                  </w:r>
                  <w:r>
                    <w:rPr>
                      <w:rFonts w:eastAsia="仿宋_GB2312"/>
                      <w:color w:val="000000"/>
                      <w:vertAlign w:val="subscript"/>
                    </w:rPr>
                    <w:t>2</w:t>
                  </w:r>
                </w:p>
              </w:tc>
              <w:tc>
                <w:tcPr>
                  <w:tcW w:w="1374" w:type="pct"/>
                  <w:shd w:val="clear" w:color="auto" w:fill="auto"/>
                  <w:vAlign w:val="center"/>
                </w:tcPr>
                <w:p>
                  <w:pPr>
                    <w:pStyle w:val="253"/>
                    <w:rPr>
                      <w:rFonts w:eastAsia="仿宋_GB2312"/>
                      <w:color w:val="000000"/>
                    </w:rPr>
                  </w:pPr>
                  <w:r>
                    <w:rPr>
                      <w:rFonts w:eastAsia="仿宋_GB2312"/>
                      <w:color w:val="000000"/>
                    </w:rPr>
                    <w:t>年平均</w:t>
                  </w:r>
                </w:p>
              </w:tc>
              <w:tc>
                <w:tcPr>
                  <w:tcW w:w="811" w:type="pct"/>
                  <w:shd w:val="clear" w:color="auto" w:fill="auto"/>
                  <w:vAlign w:val="center"/>
                </w:tcPr>
                <w:p>
                  <w:pPr>
                    <w:pStyle w:val="253"/>
                    <w:rPr>
                      <w:rFonts w:eastAsia="仿宋_GB2312"/>
                      <w:color w:val="000000"/>
                    </w:rPr>
                  </w:pPr>
                  <w:r>
                    <w:rPr>
                      <w:rFonts w:eastAsia="仿宋_GB2312"/>
                      <w:color w:val="000000"/>
                    </w:rPr>
                    <w:t>60</w:t>
                  </w:r>
                </w:p>
              </w:tc>
              <w:tc>
                <w:tcPr>
                  <w:tcW w:w="684" w:type="pct"/>
                  <w:vMerge w:val="restart"/>
                  <w:shd w:val="clear" w:color="auto" w:fill="auto"/>
                  <w:vAlign w:val="center"/>
                </w:tcPr>
                <w:p>
                  <w:pPr>
                    <w:pStyle w:val="253"/>
                    <w:rPr>
                      <w:rFonts w:eastAsia="仿宋_GB2312"/>
                      <w:color w:val="000000"/>
                    </w:rPr>
                  </w:pPr>
                  <w:r>
                    <w:rPr>
                      <w:rFonts w:eastAsia="仿宋_GB2312"/>
                      <w:bCs/>
                      <w:color w:val="000000"/>
                    </w:rPr>
                    <w:t>μg/m</w:t>
                  </w:r>
                  <w:r>
                    <w:rPr>
                      <w:rFonts w:eastAsia="仿宋_GB2312"/>
                      <w:bCs/>
                      <w:color w:val="000000"/>
                      <w:vertAlign w:val="superscript"/>
                    </w:rPr>
                    <w:t>3</w:t>
                  </w:r>
                </w:p>
              </w:tc>
              <w:tc>
                <w:tcPr>
                  <w:tcW w:w="1357" w:type="pct"/>
                  <w:vMerge w:val="restart"/>
                  <w:shd w:val="clear" w:color="auto" w:fill="auto"/>
                  <w:vAlign w:val="center"/>
                </w:tcPr>
                <w:p>
                  <w:pPr>
                    <w:pStyle w:val="253"/>
                    <w:rPr>
                      <w:rFonts w:eastAsia="仿宋_GB2312"/>
                      <w:color w:val="000000"/>
                    </w:rPr>
                  </w:pPr>
                  <w:r>
                    <w:rPr>
                      <w:rFonts w:eastAsia="仿宋_GB2312"/>
                      <w:color w:val="000000"/>
                    </w:rPr>
                    <w:t>《环境空气质量标准》(GB3095-2012)</w:t>
                  </w:r>
                </w:p>
                <w:p>
                  <w:pPr>
                    <w:pStyle w:val="253"/>
                    <w:rPr>
                      <w:rFonts w:eastAsia="仿宋_GB2312"/>
                      <w:color w:val="000000"/>
                    </w:rPr>
                  </w:pPr>
                  <w:r>
                    <w:rPr>
                      <w:rFonts w:hint="eastAsia" w:eastAsia="仿宋_GB2312"/>
                      <w:color w:val="000000"/>
                    </w:rPr>
                    <w:t>表1</w:t>
                  </w:r>
                  <w:r>
                    <w:rPr>
                      <w:rFonts w:eastAsia="仿宋_GB2312"/>
                      <w:color w:val="000000"/>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eastAsia="仿宋_GB2312"/>
                      <w:color w:val="000000"/>
                    </w:rPr>
                    <w:t>150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eastAsia="仿宋_GB2312"/>
                      <w:color w:val="000000"/>
                    </w:rPr>
                    <w:t>500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74" w:type="pct"/>
                  <w:vMerge w:val="restart"/>
                  <w:shd w:val="clear" w:color="auto" w:fill="auto"/>
                  <w:vAlign w:val="center"/>
                </w:tcPr>
                <w:p>
                  <w:pPr>
                    <w:pStyle w:val="253"/>
                    <w:rPr>
                      <w:rFonts w:eastAsia="仿宋_GB2312"/>
                      <w:color w:val="000000"/>
                    </w:rPr>
                  </w:pPr>
                  <w:r>
                    <w:rPr>
                      <w:rFonts w:eastAsia="仿宋_GB2312"/>
                      <w:color w:val="000000"/>
                    </w:rPr>
                    <w:t>NO</w:t>
                  </w:r>
                  <w:r>
                    <w:rPr>
                      <w:rFonts w:eastAsia="仿宋_GB2312"/>
                      <w:color w:val="000000"/>
                      <w:vertAlign w:val="subscript"/>
                    </w:rPr>
                    <w:t>2</w:t>
                  </w:r>
                </w:p>
              </w:tc>
              <w:tc>
                <w:tcPr>
                  <w:tcW w:w="1374" w:type="pct"/>
                  <w:shd w:val="clear" w:color="auto" w:fill="auto"/>
                  <w:vAlign w:val="center"/>
                </w:tcPr>
                <w:p>
                  <w:pPr>
                    <w:pStyle w:val="253"/>
                    <w:rPr>
                      <w:rFonts w:eastAsia="仿宋_GB2312"/>
                      <w:color w:val="000000"/>
                    </w:rPr>
                  </w:pPr>
                  <w:r>
                    <w:rPr>
                      <w:rFonts w:eastAsia="仿宋_GB2312"/>
                      <w:color w:val="000000"/>
                    </w:rPr>
                    <w:t>年平均</w:t>
                  </w:r>
                </w:p>
              </w:tc>
              <w:tc>
                <w:tcPr>
                  <w:tcW w:w="811" w:type="pct"/>
                  <w:shd w:val="clear" w:color="auto" w:fill="auto"/>
                  <w:vAlign w:val="center"/>
                </w:tcPr>
                <w:p>
                  <w:pPr>
                    <w:pStyle w:val="253"/>
                    <w:rPr>
                      <w:rFonts w:eastAsia="仿宋_GB2312"/>
                      <w:color w:val="000000"/>
                    </w:rPr>
                  </w:pPr>
                  <w:r>
                    <w:rPr>
                      <w:rFonts w:eastAsia="仿宋_GB2312"/>
                      <w:color w:val="000000"/>
                    </w:rPr>
                    <w:t>40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eastAsia="仿宋_GB2312"/>
                      <w:color w:val="000000"/>
                    </w:rPr>
                    <w:t>80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eastAsia="仿宋_GB2312"/>
                      <w:color w:val="000000"/>
                    </w:rPr>
                    <w:t>200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74" w:type="pct"/>
                  <w:vMerge w:val="restart"/>
                  <w:shd w:val="clear" w:color="auto" w:fill="auto"/>
                  <w:vAlign w:val="center"/>
                </w:tcPr>
                <w:p>
                  <w:pPr>
                    <w:pStyle w:val="253"/>
                    <w:rPr>
                      <w:rFonts w:eastAsia="仿宋_GB2312"/>
                      <w:color w:val="000000"/>
                    </w:rPr>
                  </w:pPr>
                  <w:r>
                    <w:rPr>
                      <w:rFonts w:eastAsia="仿宋_GB2312"/>
                      <w:color w:val="000000"/>
                    </w:rPr>
                    <w:t>CO</w:t>
                  </w: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eastAsia="仿宋_GB2312"/>
                      <w:color w:val="000000"/>
                    </w:rPr>
                    <w:t>4</w:t>
                  </w:r>
                </w:p>
              </w:tc>
              <w:tc>
                <w:tcPr>
                  <w:tcW w:w="684" w:type="pct"/>
                  <w:vMerge w:val="restart"/>
                  <w:shd w:val="clear" w:color="auto" w:fill="auto"/>
                  <w:vAlign w:val="center"/>
                </w:tcPr>
                <w:p>
                  <w:pPr>
                    <w:pStyle w:val="253"/>
                    <w:rPr>
                      <w:rFonts w:eastAsia="仿宋_GB2312"/>
                      <w:color w:val="000000"/>
                    </w:rPr>
                  </w:pPr>
                  <w:r>
                    <w:rPr>
                      <w:rFonts w:eastAsia="仿宋_GB2312"/>
                      <w:color w:val="000000"/>
                    </w:rPr>
                    <w:t>mg</w:t>
                  </w:r>
                  <w:r>
                    <w:rPr>
                      <w:rFonts w:eastAsia="仿宋_GB2312"/>
                      <w:bCs/>
                      <w:color w:val="000000"/>
                    </w:rPr>
                    <w:t>/m</w:t>
                  </w:r>
                  <w:r>
                    <w:rPr>
                      <w:rFonts w:eastAsia="仿宋_GB2312"/>
                      <w:bCs/>
                      <w:color w:val="000000"/>
                      <w:vertAlign w:val="superscript"/>
                    </w:rPr>
                    <w:t>3</w:t>
                  </w: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eastAsia="仿宋_GB2312"/>
                      <w:color w:val="000000"/>
                    </w:rPr>
                    <w:t>10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774" w:type="pct"/>
                  <w:vMerge w:val="restart"/>
                  <w:shd w:val="clear" w:color="auto" w:fill="auto"/>
                  <w:vAlign w:val="center"/>
                </w:tcPr>
                <w:p>
                  <w:pPr>
                    <w:pStyle w:val="253"/>
                    <w:rPr>
                      <w:rFonts w:eastAsia="仿宋_GB2312"/>
                      <w:color w:val="000000"/>
                    </w:rPr>
                  </w:pPr>
                  <w:r>
                    <w:rPr>
                      <w:rFonts w:eastAsia="仿宋_GB2312"/>
                      <w:color w:val="000000"/>
                    </w:rPr>
                    <w:t>O</w:t>
                  </w:r>
                  <w:r>
                    <w:rPr>
                      <w:rFonts w:eastAsia="仿宋_GB2312"/>
                      <w:color w:val="000000"/>
                      <w:vertAlign w:val="subscript"/>
                    </w:rPr>
                    <w:t>3</w:t>
                  </w:r>
                </w:p>
              </w:tc>
              <w:tc>
                <w:tcPr>
                  <w:tcW w:w="1374" w:type="pct"/>
                  <w:shd w:val="clear" w:color="auto" w:fill="auto"/>
                  <w:vAlign w:val="center"/>
                </w:tcPr>
                <w:p>
                  <w:pPr>
                    <w:pStyle w:val="253"/>
                    <w:rPr>
                      <w:rFonts w:eastAsia="仿宋_GB2312"/>
                      <w:color w:val="000000"/>
                    </w:rPr>
                  </w:pPr>
                  <w:r>
                    <w:rPr>
                      <w:rFonts w:eastAsia="仿宋_GB2312"/>
                      <w:color w:val="000000"/>
                    </w:rPr>
                    <w:t>日最大8小时平均</w:t>
                  </w:r>
                </w:p>
              </w:tc>
              <w:tc>
                <w:tcPr>
                  <w:tcW w:w="811" w:type="pct"/>
                  <w:shd w:val="clear" w:color="auto" w:fill="auto"/>
                  <w:vAlign w:val="center"/>
                </w:tcPr>
                <w:p>
                  <w:pPr>
                    <w:pStyle w:val="253"/>
                    <w:rPr>
                      <w:rFonts w:eastAsia="仿宋_GB2312"/>
                      <w:color w:val="000000"/>
                    </w:rPr>
                  </w:pPr>
                  <w:r>
                    <w:rPr>
                      <w:rFonts w:eastAsia="仿宋_GB2312"/>
                      <w:color w:val="000000"/>
                    </w:rPr>
                    <w:t>160</w:t>
                  </w:r>
                </w:p>
              </w:tc>
              <w:tc>
                <w:tcPr>
                  <w:tcW w:w="684" w:type="pct"/>
                  <w:vMerge w:val="restart"/>
                  <w:shd w:val="clear" w:color="auto" w:fill="auto"/>
                  <w:vAlign w:val="center"/>
                </w:tcPr>
                <w:p>
                  <w:pPr>
                    <w:pStyle w:val="253"/>
                    <w:rPr>
                      <w:rFonts w:eastAsia="仿宋_GB2312"/>
                      <w:color w:val="000000"/>
                    </w:rPr>
                  </w:pPr>
                  <w:r>
                    <w:rPr>
                      <w:rFonts w:eastAsia="仿宋_GB2312"/>
                      <w:bCs/>
                      <w:color w:val="000000"/>
                    </w:rPr>
                    <w:t>μg/m</w:t>
                  </w:r>
                  <w:r>
                    <w:rPr>
                      <w:rFonts w:eastAsia="仿宋_GB2312"/>
                      <w:bCs/>
                      <w:color w:val="000000"/>
                      <w:vertAlign w:val="superscript"/>
                    </w:rPr>
                    <w:t>3</w:t>
                  </w: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eastAsia="仿宋_GB2312"/>
                      <w:color w:val="000000"/>
                    </w:rPr>
                    <w:t>200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774" w:type="pct"/>
                  <w:vMerge w:val="restart"/>
                  <w:shd w:val="clear" w:color="auto" w:fill="auto"/>
                  <w:vAlign w:val="center"/>
                </w:tcPr>
                <w:p>
                  <w:pPr>
                    <w:pStyle w:val="253"/>
                    <w:rPr>
                      <w:rFonts w:eastAsia="仿宋_GB2312"/>
                      <w:color w:val="000000"/>
                      <w:vertAlign w:val="subscript"/>
                    </w:rPr>
                  </w:pPr>
                  <w:r>
                    <w:rPr>
                      <w:rFonts w:eastAsia="仿宋_GB2312"/>
                      <w:color w:val="000000"/>
                    </w:rPr>
                    <w:t>PM</w:t>
                  </w:r>
                  <w:r>
                    <w:rPr>
                      <w:rFonts w:eastAsia="仿宋_GB2312"/>
                      <w:color w:val="000000"/>
                      <w:vertAlign w:val="subscript"/>
                    </w:rPr>
                    <w:t>10</w:t>
                  </w:r>
                </w:p>
              </w:tc>
              <w:tc>
                <w:tcPr>
                  <w:tcW w:w="1374" w:type="pct"/>
                  <w:shd w:val="clear" w:color="auto" w:fill="auto"/>
                  <w:vAlign w:val="center"/>
                </w:tcPr>
                <w:p>
                  <w:pPr>
                    <w:pStyle w:val="253"/>
                    <w:rPr>
                      <w:rFonts w:eastAsia="仿宋_GB2312"/>
                      <w:color w:val="000000"/>
                    </w:rPr>
                  </w:pPr>
                  <w:r>
                    <w:rPr>
                      <w:rFonts w:eastAsia="仿宋_GB2312"/>
                      <w:color w:val="000000"/>
                    </w:rPr>
                    <w:t>年平均</w:t>
                  </w:r>
                </w:p>
              </w:tc>
              <w:tc>
                <w:tcPr>
                  <w:tcW w:w="811" w:type="pct"/>
                  <w:shd w:val="clear" w:color="auto" w:fill="auto"/>
                  <w:vAlign w:val="center"/>
                </w:tcPr>
                <w:p>
                  <w:pPr>
                    <w:pStyle w:val="253"/>
                    <w:rPr>
                      <w:rFonts w:eastAsia="仿宋_GB2312"/>
                      <w:color w:val="000000"/>
                    </w:rPr>
                  </w:pPr>
                  <w:r>
                    <w:rPr>
                      <w:rFonts w:eastAsia="仿宋_GB2312"/>
                      <w:color w:val="000000"/>
                    </w:rPr>
                    <w:t>70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74" w:type="pct"/>
                  <w:vMerge w:val="continue"/>
                  <w:shd w:val="clear" w:color="auto" w:fill="auto"/>
                  <w:vAlign w:val="center"/>
                </w:tcPr>
                <w:p>
                  <w:pPr>
                    <w:pStyle w:val="253"/>
                    <w:rPr>
                      <w:rFonts w:eastAsia="仿宋_GB2312"/>
                      <w:color w:val="000000"/>
                      <w:vertAlign w:val="subscript"/>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eastAsia="仿宋_GB2312"/>
                      <w:color w:val="000000"/>
                    </w:rPr>
                    <w:t>150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774" w:type="pct"/>
                  <w:vMerge w:val="restart"/>
                  <w:shd w:val="clear" w:color="auto" w:fill="auto"/>
                  <w:vAlign w:val="center"/>
                </w:tcPr>
                <w:p>
                  <w:pPr>
                    <w:pStyle w:val="253"/>
                    <w:rPr>
                      <w:rFonts w:eastAsia="仿宋_GB2312"/>
                      <w:color w:val="000000"/>
                      <w:vertAlign w:val="subscript"/>
                    </w:rPr>
                  </w:pPr>
                  <w:r>
                    <w:rPr>
                      <w:rFonts w:eastAsia="仿宋_GB2312"/>
                      <w:color w:val="000000"/>
                    </w:rPr>
                    <w:t>PM</w:t>
                  </w:r>
                  <w:r>
                    <w:rPr>
                      <w:rFonts w:eastAsia="仿宋_GB2312"/>
                      <w:color w:val="000000"/>
                      <w:vertAlign w:val="subscript"/>
                    </w:rPr>
                    <w:t>2.5</w:t>
                  </w:r>
                </w:p>
              </w:tc>
              <w:tc>
                <w:tcPr>
                  <w:tcW w:w="1374" w:type="pct"/>
                  <w:shd w:val="clear" w:color="auto" w:fill="auto"/>
                  <w:vAlign w:val="center"/>
                </w:tcPr>
                <w:p>
                  <w:pPr>
                    <w:pStyle w:val="253"/>
                    <w:rPr>
                      <w:rFonts w:eastAsia="仿宋_GB2312"/>
                      <w:color w:val="000000"/>
                    </w:rPr>
                  </w:pPr>
                  <w:r>
                    <w:rPr>
                      <w:rFonts w:eastAsia="仿宋_GB2312"/>
                      <w:color w:val="000000"/>
                    </w:rPr>
                    <w:t>年平均</w:t>
                  </w:r>
                </w:p>
              </w:tc>
              <w:tc>
                <w:tcPr>
                  <w:tcW w:w="811" w:type="pct"/>
                  <w:shd w:val="clear" w:color="auto" w:fill="auto"/>
                  <w:vAlign w:val="center"/>
                </w:tcPr>
                <w:p>
                  <w:pPr>
                    <w:pStyle w:val="253"/>
                    <w:rPr>
                      <w:rFonts w:eastAsia="仿宋_GB2312"/>
                      <w:color w:val="000000"/>
                    </w:rPr>
                  </w:pPr>
                  <w:r>
                    <w:rPr>
                      <w:rFonts w:eastAsia="仿宋_GB2312"/>
                      <w:color w:val="000000"/>
                    </w:rPr>
                    <w:t>35</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vMerge w:val="continue"/>
                  <w:shd w:val="clear" w:color="auto" w:fill="auto"/>
                  <w:vAlign w:val="center"/>
                </w:tcPr>
                <w:p>
                  <w:pPr>
                    <w:pStyle w:val="253"/>
                    <w:rPr>
                      <w:rFonts w:eastAsia="仿宋_GB2312"/>
                      <w:color w:val="000000"/>
                      <w:vertAlign w:val="subscript"/>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eastAsia="仿宋_GB2312"/>
                      <w:color w:val="000000"/>
                    </w:rPr>
                    <w:t>75</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vMerge w:val="restart"/>
                  <w:shd w:val="clear" w:color="auto" w:fill="auto"/>
                  <w:vAlign w:val="center"/>
                </w:tcPr>
                <w:p>
                  <w:pPr>
                    <w:pStyle w:val="253"/>
                    <w:rPr>
                      <w:rFonts w:eastAsia="仿宋_GB2312"/>
                      <w:color w:val="000000"/>
                    </w:rPr>
                  </w:pPr>
                  <w:r>
                    <w:rPr>
                      <w:rFonts w:hint="eastAsia" w:eastAsia="仿宋_GB2312"/>
                      <w:color w:val="000000"/>
                    </w:rPr>
                    <w:t>氟化物</w:t>
                  </w: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0</w:t>
                  </w:r>
                </w:p>
              </w:tc>
              <w:tc>
                <w:tcPr>
                  <w:tcW w:w="684" w:type="pct"/>
                  <w:vMerge w:val="continue"/>
                  <w:shd w:val="clear" w:color="auto" w:fill="auto"/>
                  <w:vAlign w:val="center"/>
                </w:tcPr>
                <w:p>
                  <w:pPr>
                    <w:pStyle w:val="253"/>
                    <w:rPr>
                      <w:rFonts w:eastAsia="仿宋_GB2312"/>
                      <w:color w:val="000000"/>
                    </w:rPr>
                  </w:pPr>
                </w:p>
              </w:tc>
              <w:tc>
                <w:tcPr>
                  <w:tcW w:w="1357" w:type="pct"/>
                  <w:vMerge w:val="restart"/>
                  <w:shd w:val="clear" w:color="auto" w:fill="auto"/>
                  <w:vAlign w:val="center"/>
                </w:tcPr>
                <w:p>
                  <w:pPr>
                    <w:pStyle w:val="253"/>
                    <w:rPr>
                      <w:rFonts w:eastAsia="仿宋_GB2312"/>
                      <w:color w:val="000000"/>
                    </w:rPr>
                  </w:pPr>
                  <w:r>
                    <w:rPr>
                      <w:rFonts w:eastAsia="仿宋_GB2312"/>
                      <w:color w:val="000000"/>
                    </w:rPr>
                    <w:t>《环境空气质量标准》(GB3095-2012)</w:t>
                  </w:r>
                </w:p>
                <w:p>
                  <w:pPr>
                    <w:pStyle w:val="253"/>
                    <w:rPr>
                      <w:rFonts w:eastAsia="仿宋_GB2312"/>
                      <w:color w:val="000000"/>
                    </w:rPr>
                  </w:pPr>
                  <w:r>
                    <w:rPr>
                      <w:rFonts w:hint="eastAsia" w:eastAsia="仿宋_GB2312"/>
                      <w:color w:val="000000"/>
                    </w:rPr>
                    <w:t>表A</w:t>
                  </w:r>
                  <w:r>
                    <w:rPr>
                      <w:rFonts w:eastAsia="仿宋_GB2312"/>
                      <w:color w:val="000000"/>
                    </w:rPr>
                    <w:t>.1二级标准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hint="eastAsia" w:eastAsia="仿宋_GB2312"/>
                      <w:color w:val="000000"/>
                    </w:rPr>
                    <w:t>7</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vMerge w:val="restart"/>
                  <w:shd w:val="clear" w:color="auto" w:fill="auto"/>
                  <w:vAlign w:val="center"/>
                </w:tcPr>
                <w:p>
                  <w:pPr>
                    <w:pStyle w:val="253"/>
                    <w:rPr>
                      <w:rFonts w:eastAsia="仿宋_GB2312"/>
                      <w:color w:val="000000"/>
                    </w:rPr>
                  </w:pPr>
                  <w:r>
                    <w:rPr>
                      <w:rFonts w:eastAsia="仿宋_GB2312"/>
                      <w:color w:val="000000"/>
                    </w:rPr>
                    <w:t>HC</w:t>
                  </w:r>
                  <w:r>
                    <w:rPr>
                      <w:rFonts w:hint="eastAsia" w:eastAsia="仿宋_GB2312"/>
                      <w:color w:val="000000"/>
                    </w:rPr>
                    <w:t>l</w:t>
                  </w: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0</w:t>
                  </w:r>
                </w:p>
              </w:tc>
              <w:tc>
                <w:tcPr>
                  <w:tcW w:w="684" w:type="pct"/>
                  <w:vMerge w:val="restart"/>
                  <w:shd w:val="clear" w:color="auto" w:fill="auto"/>
                  <w:vAlign w:val="center"/>
                </w:tcPr>
                <w:p>
                  <w:pPr>
                    <w:pStyle w:val="253"/>
                    <w:rPr>
                      <w:rFonts w:eastAsia="仿宋_GB2312"/>
                      <w:bCs/>
                      <w:color w:val="000000"/>
                    </w:rPr>
                  </w:pPr>
                  <w:r>
                    <w:rPr>
                      <w:rFonts w:eastAsia="仿宋_GB2312"/>
                      <w:bCs/>
                      <w:color w:val="000000"/>
                    </w:rPr>
                    <w:t>μg/m</w:t>
                  </w:r>
                  <w:r>
                    <w:rPr>
                      <w:rFonts w:eastAsia="仿宋_GB2312"/>
                      <w:bCs/>
                      <w:color w:val="000000"/>
                      <w:vertAlign w:val="superscript"/>
                    </w:rPr>
                    <w:t>3</w:t>
                  </w:r>
                </w:p>
              </w:tc>
              <w:tc>
                <w:tcPr>
                  <w:tcW w:w="1357" w:type="pct"/>
                  <w:vMerge w:val="restart"/>
                  <w:shd w:val="clear" w:color="auto" w:fill="auto"/>
                  <w:vAlign w:val="center"/>
                </w:tcPr>
                <w:p>
                  <w:pPr>
                    <w:pStyle w:val="253"/>
                    <w:rPr>
                      <w:rFonts w:eastAsia="仿宋_GB2312"/>
                      <w:color w:val="000000"/>
                    </w:rPr>
                  </w:pPr>
                  <w:r>
                    <w:rPr>
                      <w:rFonts w:eastAsia="仿宋_GB2312"/>
                      <w:color w:val="000000"/>
                    </w:rPr>
                    <w:t>《环境影响评价技术导则 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5</w:t>
                  </w:r>
                </w:p>
              </w:tc>
              <w:tc>
                <w:tcPr>
                  <w:tcW w:w="684" w:type="pct"/>
                  <w:vMerge w:val="continue"/>
                  <w:shd w:val="clear" w:color="auto" w:fill="auto"/>
                  <w:vAlign w:val="center"/>
                </w:tcPr>
                <w:p>
                  <w:pPr>
                    <w:pStyle w:val="253"/>
                    <w:rPr>
                      <w:rFonts w:eastAsia="仿宋_GB2312"/>
                      <w:bCs/>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vMerge w:val="restart"/>
                  <w:shd w:val="clear" w:color="auto" w:fill="auto"/>
                  <w:vAlign w:val="center"/>
                </w:tcPr>
                <w:p>
                  <w:pPr>
                    <w:pStyle w:val="253"/>
                    <w:rPr>
                      <w:rFonts w:eastAsia="仿宋_GB2312"/>
                      <w:color w:val="000000"/>
                    </w:rPr>
                  </w:pPr>
                  <w:r>
                    <w:rPr>
                      <w:rFonts w:hint="eastAsia" w:eastAsia="仿宋_GB2312"/>
                      <w:color w:val="000000"/>
                    </w:rPr>
                    <w:t>H</w:t>
                  </w:r>
                  <w:r>
                    <w:rPr>
                      <w:rFonts w:eastAsia="仿宋_GB2312"/>
                      <w:color w:val="000000"/>
                      <w:vertAlign w:val="subscript"/>
                    </w:rPr>
                    <w:t>2</w:t>
                  </w:r>
                  <w:r>
                    <w:rPr>
                      <w:rFonts w:eastAsia="仿宋_GB2312"/>
                      <w:color w:val="000000"/>
                    </w:rPr>
                    <w:t>SO</w:t>
                  </w:r>
                  <w:r>
                    <w:rPr>
                      <w:rFonts w:eastAsia="仿宋_GB2312"/>
                      <w:color w:val="000000"/>
                      <w:vertAlign w:val="subscript"/>
                    </w:rPr>
                    <w:t>4</w:t>
                  </w:r>
                </w:p>
              </w:tc>
              <w:tc>
                <w:tcPr>
                  <w:tcW w:w="1374" w:type="pct"/>
                  <w:shd w:val="clear" w:color="auto" w:fill="auto"/>
                  <w:vAlign w:val="center"/>
                </w:tcPr>
                <w:p>
                  <w:pPr>
                    <w:pStyle w:val="253"/>
                    <w:rPr>
                      <w:rFonts w:eastAsia="仿宋_GB2312"/>
                      <w:color w:val="000000"/>
                    </w:rPr>
                  </w:pPr>
                  <w:r>
                    <w:rPr>
                      <w:rFonts w:eastAsia="仿宋_GB2312"/>
                      <w:color w:val="000000"/>
                    </w:rPr>
                    <w:t>1小时平均</w:t>
                  </w:r>
                </w:p>
              </w:tc>
              <w:tc>
                <w:tcPr>
                  <w:tcW w:w="811" w:type="pct"/>
                  <w:shd w:val="clear" w:color="auto" w:fill="auto"/>
                  <w:vAlign w:val="center"/>
                </w:tcPr>
                <w:p>
                  <w:pPr>
                    <w:pStyle w:val="253"/>
                    <w:rPr>
                      <w:rFonts w:eastAsia="仿宋_GB2312"/>
                      <w:color w:val="000000"/>
                    </w:rPr>
                  </w:pPr>
                  <w:r>
                    <w:rPr>
                      <w:rFonts w:hint="eastAsia" w:eastAsia="仿宋_GB2312"/>
                      <w:color w:val="000000"/>
                    </w:rPr>
                    <w:t>3</w:t>
                  </w:r>
                  <w:r>
                    <w:rPr>
                      <w:rFonts w:eastAsia="仿宋_GB2312"/>
                      <w:color w:val="000000"/>
                    </w:rPr>
                    <w:t>00</w:t>
                  </w:r>
                </w:p>
              </w:tc>
              <w:tc>
                <w:tcPr>
                  <w:tcW w:w="684" w:type="pct"/>
                  <w:vMerge w:val="continue"/>
                  <w:shd w:val="clear" w:color="auto" w:fill="auto"/>
                  <w:vAlign w:val="center"/>
                </w:tcPr>
                <w:p>
                  <w:pPr>
                    <w:pStyle w:val="253"/>
                    <w:rPr>
                      <w:rFonts w:eastAsia="仿宋_GB2312"/>
                      <w:bCs/>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4" w:hRule="atLeast"/>
                <w:jc w:val="center"/>
              </w:trPr>
              <w:tc>
                <w:tcPr>
                  <w:tcW w:w="774" w:type="pct"/>
                  <w:vMerge w:val="continue"/>
                  <w:shd w:val="clear" w:color="auto" w:fill="auto"/>
                  <w:vAlign w:val="center"/>
                </w:tcPr>
                <w:p>
                  <w:pPr>
                    <w:pStyle w:val="253"/>
                    <w:rPr>
                      <w:rFonts w:eastAsia="仿宋_GB2312"/>
                      <w:color w:val="000000"/>
                    </w:rPr>
                  </w:pPr>
                </w:p>
              </w:tc>
              <w:tc>
                <w:tcPr>
                  <w:tcW w:w="1374" w:type="pct"/>
                  <w:shd w:val="clear" w:color="auto" w:fill="auto"/>
                  <w:vAlign w:val="center"/>
                </w:tcPr>
                <w:p>
                  <w:pPr>
                    <w:pStyle w:val="253"/>
                    <w:rPr>
                      <w:rFonts w:eastAsia="仿宋_GB2312"/>
                      <w:color w:val="000000"/>
                    </w:rPr>
                  </w:pPr>
                  <w:r>
                    <w:rPr>
                      <w:rFonts w:eastAsia="仿宋_GB2312"/>
                      <w:color w:val="000000"/>
                    </w:rPr>
                    <w:t>24小时平均</w:t>
                  </w:r>
                </w:p>
              </w:tc>
              <w:tc>
                <w:tcPr>
                  <w:tcW w:w="811"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00</w:t>
                  </w:r>
                </w:p>
              </w:tc>
              <w:tc>
                <w:tcPr>
                  <w:tcW w:w="684" w:type="pct"/>
                  <w:vMerge w:val="continue"/>
                  <w:shd w:val="clear" w:color="auto" w:fill="auto"/>
                  <w:vAlign w:val="center"/>
                </w:tcPr>
                <w:p>
                  <w:pPr>
                    <w:pStyle w:val="253"/>
                    <w:rPr>
                      <w:rFonts w:eastAsia="仿宋_GB2312"/>
                      <w:bCs/>
                      <w:color w:val="000000"/>
                    </w:rPr>
                  </w:pPr>
                </w:p>
              </w:tc>
              <w:tc>
                <w:tcPr>
                  <w:tcW w:w="1357"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4" w:type="pct"/>
                  <w:shd w:val="clear" w:color="auto" w:fill="auto"/>
                  <w:vAlign w:val="center"/>
                </w:tcPr>
                <w:p>
                  <w:pPr>
                    <w:pStyle w:val="253"/>
                    <w:rPr>
                      <w:rFonts w:eastAsia="仿宋_GB2312"/>
                      <w:color w:val="000000"/>
                    </w:rPr>
                  </w:pPr>
                  <w:r>
                    <w:rPr>
                      <w:rFonts w:eastAsia="仿宋_GB2312"/>
                      <w:color w:val="000000"/>
                    </w:rPr>
                    <w:t>TVOC</w:t>
                  </w:r>
                </w:p>
              </w:tc>
              <w:tc>
                <w:tcPr>
                  <w:tcW w:w="1374" w:type="pct"/>
                  <w:shd w:val="clear" w:color="auto" w:fill="auto"/>
                  <w:vAlign w:val="center"/>
                </w:tcPr>
                <w:p>
                  <w:pPr>
                    <w:pStyle w:val="253"/>
                    <w:rPr>
                      <w:rFonts w:eastAsia="仿宋_GB2312"/>
                      <w:color w:val="000000"/>
                    </w:rPr>
                  </w:pPr>
                  <w:r>
                    <w:rPr>
                      <w:rFonts w:eastAsia="仿宋_GB2312"/>
                      <w:color w:val="000000"/>
                    </w:rPr>
                    <w:t>8小时平均</w:t>
                  </w:r>
                </w:p>
              </w:tc>
              <w:tc>
                <w:tcPr>
                  <w:tcW w:w="811" w:type="pct"/>
                  <w:shd w:val="clear" w:color="auto" w:fill="auto"/>
                  <w:vAlign w:val="center"/>
                </w:tcPr>
                <w:p>
                  <w:pPr>
                    <w:pStyle w:val="253"/>
                    <w:rPr>
                      <w:rFonts w:eastAsia="仿宋_GB2312"/>
                      <w:color w:val="000000"/>
                    </w:rPr>
                  </w:pPr>
                  <w:r>
                    <w:rPr>
                      <w:rFonts w:eastAsia="仿宋_GB2312"/>
                      <w:color w:val="000000"/>
                    </w:rPr>
                    <w:t>600</w:t>
                  </w:r>
                </w:p>
              </w:tc>
              <w:tc>
                <w:tcPr>
                  <w:tcW w:w="684" w:type="pct"/>
                  <w:vMerge w:val="continue"/>
                  <w:shd w:val="clear" w:color="auto" w:fill="auto"/>
                  <w:vAlign w:val="center"/>
                </w:tcPr>
                <w:p>
                  <w:pPr>
                    <w:pStyle w:val="253"/>
                    <w:rPr>
                      <w:rFonts w:eastAsia="仿宋_GB2312"/>
                      <w:color w:val="000000"/>
                    </w:rPr>
                  </w:pPr>
                </w:p>
              </w:tc>
              <w:tc>
                <w:tcPr>
                  <w:tcW w:w="1357" w:type="pct"/>
                  <w:vMerge w:val="continue"/>
                  <w:shd w:val="clear" w:color="auto" w:fill="auto"/>
                  <w:vAlign w:val="center"/>
                </w:tcPr>
                <w:p>
                  <w:pPr>
                    <w:pStyle w:val="253"/>
                    <w:rPr>
                      <w:rFonts w:eastAsia="仿宋_GB2312"/>
                      <w:color w:val="000000"/>
                    </w:rPr>
                  </w:pPr>
                </w:p>
              </w:tc>
            </w:tr>
          </w:tbl>
          <w:p>
            <w:pPr>
              <w:pStyle w:val="253"/>
              <w:rPr>
                <w:rFonts w:eastAsia="仿宋_GB2312"/>
                <w:color w:val="000000"/>
              </w:rPr>
            </w:pPr>
          </w:p>
          <w:p>
            <w:pPr>
              <w:adjustRightInd w:val="0"/>
              <w:snapToGrid w:val="0"/>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2、地表水环境质量标准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本项目废水经化粪池预处理后接管至江心洲污水处理厂集中处理，尾水最终外排至长江，根据《江苏省地表水（环境）功能区划》，长江南京段水质执行《地表水环境质量标准》（GB 3838-2002）中的Ⅱ类水质标准，SS</w:t>
            </w:r>
            <w:r>
              <w:rPr>
                <w:rFonts w:hint="eastAsia" w:ascii="Times New Roman" w:hAnsi="Times New Roman" w:eastAsia="仿宋_GB2312"/>
                <w:color w:val="000000"/>
                <w:sz w:val="24"/>
                <w:szCs w:val="24"/>
              </w:rPr>
              <w:t>技术上引用</w:t>
            </w:r>
            <w:r>
              <w:rPr>
                <w:rFonts w:ascii="Times New Roman" w:hAnsi="Times New Roman" w:eastAsia="仿宋_GB2312"/>
                <w:color w:val="000000"/>
                <w:sz w:val="24"/>
                <w:szCs w:val="24"/>
              </w:rPr>
              <w:t>水利部《地表水资源质量标准》（SL 63-94</w:t>
            </w:r>
            <w:r>
              <w:rPr>
                <w:rFonts w:hint="eastAsia" w:ascii="Times New Roman" w:hAnsi="Times New Roman" w:eastAsia="仿宋_GB2312"/>
                <w:color w:val="000000"/>
                <w:sz w:val="24"/>
                <w:szCs w:val="24"/>
              </w:rPr>
              <w:t>，已废止</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中表3</w:t>
            </w:r>
            <w:r>
              <w:rPr>
                <w:rFonts w:ascii="Times New Roman" w:hAnsi="Times New Roman" w:eastAsia="仿宋_GB2312"/>
                <w:color w:val="000000"/>
                <w:sz w:val="24"/>
                <w:szCs w:val="24"/>
              </w:rPr>
              <w:t>.0.1</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二级标准</w:t>
            </w:r>
            <w:r>
              <w:rPr>
                <w:rFonts w:ascii="Times New Roman" w:hAnsi="Times New Roman" w:eastAsia="仿宋_GB2312"/>
                <w:color w:val="000000"/>
                <w:sz w:val="24"/>
                <w:szCs w:val="24"/>
              </w:rPr>
              <w:t>，具体数据见表4-2。</w:t>
            </w:r>
          </w:p>
          <w:p>
            <w:pPr>
              <w:adjustRightInd w:val="0"/>
              <w:snapToGrid w:val="0"/>
              <w:spacing w:line="480" w:lineRule="exact"/>
              <w:ind w:firstLine="7" w:firstLineChars="3"/>
              <w:jc w:val="center"/>
              <w:rPr>
                <w:rFonts w:ascii="Times New Roman" w:hAnsi="Times New Roman" w:eastAsia="仿宋_GB2312"/>
                <w:color w:val="000000"/>
                <w:sz w:val="24"/>
                <w:szCs w:val="24"/>
              </w:rPr>
            </w:pPr>
            <w:r>
              <w:rPr>
                <w:rFonts w:ascii="Times New Roman" w:hAnsi="Times New Roman" w:eastAsia="仿宋_GB2312"/>
                <w:b/>
                <w:color w:val="000000"/>
                <w:sz w:val="24"/>
                <w:szCs w:val="24"/>
              </w:rPr>
              <w:t>表4-2 地表水环境质量标准限值（pH无量纲，其余单位：mg/L）</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6"/>
              <w:gridCol w:w="1596"/>
              <w:gridCol w:w="4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b/>
                      <w:bCs/>
                      <w:szCs w:val="21"/>
                    </w:rPr>
                  </w:pPr>
                  <w:r>
                    <w:rPr>
                      <w:rFonts w:ascii="Times New Roman" w:hAnsi="Times New Roman" w:eastAsia="仿宋_GB2312"/>
                      <w:b/>
                      <w:bCs/>
                      <w:szCs w:val="21"/>
                    </w:rPr>
                    <w:t>项目</w:t>
                  </w:r>
                </w:p>
              </w:tc>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b/>
                      <w:bCs/>
                      <w:szCs w:val="21"/>
                    </w:rPr>
                  </w:pPr>
                  <w:r>
                    <w:rPr>
                      <w:rFonts w:ascii="Times New Roman" w:hAnsi="Times New Roman" w:eastAsia="仿宋_GB2312"/>
                      <w:b/>
                      <w:bCs/>
                      <w:szCs w:val="21"/>
                      <w:lang w:val="zh-CN"/>
                    </w:rPr>
                    <w:t>Ⅱ</w:t>
                  </w:r>
                  <w:r>
                    <w:rPr>
                      <w:rFonts w:ascii="Times New Roman" w:hAnsi="Times New Roman" w:eastAsia="仿宋_GB2312"/>
                      <w:b/>
                      <w:bCs/>
                      <w:szCs w:val="21"/>
                    </w:rPr>
                    <w:t>类标准值</w:t>
                  </w:r>
                </w:p>
              </w:tc>
              <w:tc>
                <w:tcPr>
                  <w:tcW w:w="2707"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仿宋_GB2312"/>
                      <w:b/>
                      <w:bCs/>
                      <w:szCs w:val="21"/>
                    </w:rPr>
                  </w:pPr>
                  <w:r>
                    <w:rPr>
                      <w:rFonts w:ascii="Times New Roman" w:hAnsi="Times New Roman" w:eastAsia="仿宋_GB2312"/>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pH</w:t>
                  </w:r>
                </w:p>
              </w:tc>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6~9</w:t>
                  </w:r>
                </w:p>
              </w:tc>
              <w:tc>
                <w:tcPr>
                  <w:tcW w:w="2707" w:type="pct"/>
                  <w:vMerge w:val="restart"/>
                  <w:tcBorders>
                    <w:top w:val="single" w:color="auto" w:sz="4" w:space="0"/>
                    <w:left w:val="single" w:color="auto" w:sz="4" w:space="0"/>
                    <w:right w:val="nil"/>
                  </w:tcBorders>
                  <w:vAlign w:val="center"/>
                </w:tcPr>
                <w:p>
                  <w:pPr>
                    <w:jc w:val="center"/>
                    <w:rPr>
                      <w:rFonts w:ascii="Times New Roman" w:hAnsi="Times New Roman" w:eastAsia="仿宋_GB2312"/>
                      <w:szCs w:val="21"/>
                    </w:rPr>
                  </w:pPr>
                  <w:r>
                    <w:rPr>
                      <w:rFonts w:ascii="Times New Roman" w:hAnsi="Times New Roman" w:eastAsia="仿宋_GB2312"/>
                      <w:szCs w:val="21"/>
                    </w:rPr>
                    <w:t>《地表水环境质量标准》（G</w:t>
                  </w:r>
                  <w:r>
                    <w:rPr>
                      <w:rStyle w:val="47"/>
                      <w:rFonts w:ascii="Times New Roman" w:hAnsi="Times New Roman" w:eastAsia="仿宋_GB2312"/>
                      <w:b w:val="0"/>
                      <w:kern w:val="0"/>
                    </w:rPr>
                    <w:t>B</w:t>
                  </w:r>
                  <w:r>
                    <w:rPr>
                      <w:rFonts w:ascii="Times New Roman" w:hAnsi="Times New Roman" w:eastAsia="仿宋_GB2312"/>
                      <w:szCs w:val="21"/>
                    </w:rPr>
                    <w:t>3838-2002）</w:t>
                  </w:r>
                  <w:r>
                    <w:rPr>
                      <w:rFonts w:hint="eastAsia" w:ascii="Times New Roman" w:hAnsi="Times New Roman" w:eastAsia="仿宋_GB2312"/>
                      <w:szCs w:val="21"/>
                    </w:rPr>
                    <w:t>二类标准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COD</w:t>
                  </w:r>
                </w:p>
              </w:tc>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15</w:t>
                  </w:r>
                </w:p>
              </w:tc>
              <w:tc>
                <w:tcPr>
                  <w:tcW w:w="2707" w:type="pct"/>
                  <w:vMerge w:val="continue"/>
                  <w:tcBorders>
                    <w:left w:val="single" w:color="auto" w:sz="4" w:space="0"/>
                    <w:right w:val="nil"/>
                  </w:tcBorders>
                  <w:vAlign w:val="center"/>
                </w:tcPr>
                <w:p>
                  <w:pPr>
                    <w:widowControl/>
                    <w:jc w:val="left"/>
                    <w:rPr>
                      <w:rFonts w:ascii="Times New Roman" w:hAnsi="Times New Roman" w:eastAsia="仿宋_GB231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NH</w:t>
                  </w:r>
                  <w:r>
                    <w:rPr>
                      <w:rFonts w:ascii="Times New Roman" w:hAnsi="Times New Roman" w:eastAsia="仿宋_GB2312"/>
                      <w:szCs w:val="21"/>
                      <w:vertAlign w:val="subscript"/>
                    </w:rPr>
                    <w:t>3</w:t>
                  </w:r>
                  <w:r>
                    <w:rPr>
                      <w:rFonts w:ascii="Times New Roman" w:hAnsi="Times New Roman" w:eastAsia="仿宋_GB2312"/>
                      <w:szCs w:val="21"/>
                    </w:rPr>
                    <w:t>-N</w:t>
                  </w:r>
                </w:p>
              </w:tc>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0.5</w:t>
                  </w:r>
                </w:p>
              </w:tc>
              <w:tc>
                <w:tcPr>
                  <w:tcW w:w="2707" w:type="pct"/>
                  <w:vMerge w:val="continue"/>
                  <w:tcBorders>
                    <w:left w:val="single" w:color="auto" w:sz="4" w:space="0"/>
                    <w:right w:val="nil"/>
                  </w:tcBorders>
                  <w:vAlign w:val="center"/>
                </w:tcPr>
                <w:p>
                  <w:pPr>
                    <w:widowControl/>
                    <w:jc w:val="left"/>
                    <w:rPr>
                      <w:rFonts w:ascii="Times New Roman" w:hAnsi="Times New Roman" w:eastAsia="仿宋_GB231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TP</w:t>
                  </w:r>
                </w:p>
              </w:tc>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0.1</w:t>
                  </w:r>
                </w:p>
              </w:tc>
              <w:tc>
                <w:tcPr>
                  <w:tcW w:w="2707" w:type="pct"/>
                  <w:vMerge w:val="continue"/>
                  <w:tcBorders>
                    <w:left w:val="single" w:color="auto" w:sz="4" w:space="0"/>
                    <w:right w:val="nil"/>
                  </w:tcBorders>
                  <w:vAlign w:val="center"/>
                </w:tcPr>
                <w:p>
                  <w:pPr>
                    <w:widowControl/>
                    <w:jc w:val="left"/>
                    <w:rPr>
                      <w:rFonts w:ascii="Times New Roman" w:hAnsi="Times New Roman" w:eastAsia="仿宋_GB231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7"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SS</w:t>
                  </w:r>
                </w:p>
              </w:tc>
              <w:tc>
                <w:tcPr>
                  <w:tcW w:w="101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ascii="Times New Roman" w:hAnsi="Times New Roman" w:eastAsia="仿宋_GB2312"/>
                      <w:szCs w:val="21"/>
                    </w:rPr>
                    <w:t>25</w:t>
                  </w:r>
                </w:p>
              </w:tc>
              <w:tc>
                <w:tcPr>
                  <w:tcW w:w="2707" w:type="pct"/>
                  <w:tcBorders>
                    <w:top w:val="single" w:color="auto" w:sz="4" w:space="0"/>
                    <w:left w:val="single" w:color="auto" w:sz="4" w:space="0"/>
                    <w:bottom w:val="single" w:color="auto" w:sz="4" w:space="0"/>
                    <w:right w:val="nil"/>
                  </w:tcBorders>
                  <w:vAlign w:val="center"/>
                </w:tcPr>
                <w:p>
                  <w:pPr>
                    <w:widowControl/>
                    <w:jc w:val="center"/>
                    <w:rPr>
                      <w:rFonts w:ascii="Times New Roman" w:hAnsi="Times New Roman" w:eastAsia="仿宋_GB2312"/>
                      <w:szCs w:val="21"/>
                    </w:rPr>
                  </w:pPr>
                  <w:r>
                    <w:rPr>
                      <w:rFonts w:ascii="Times New Roman" w:hAnsi="Times New Roman" w:eastAsia="仿宋_GB2312"/>
                      <w:kern w:val="0"/>
                      <w:szCs w:val="21"/>
                    </w:rPr>
                    <w:t>《地表水资源质量标准》（SL63-94）</w:t>
                  </w:r>
                  <w:r>
                    <w:rPr>
                      <w:rFonts w:hint="eastAsia" w:ascii="Times New Roman" w:hAnsi="Times New Roman" w:eastAsia="仿宋_GB2312"/>
                      <w:kern w:val="0"/>
                      <w:szCs w:val="21"/>
                    </w:rPr>
                    <w:t>中表3.0.1-1二级标准</w:t>
                  </w:r>
                </w:p>
              </w:tc>
            </w:tr>
          </w:tbl>
          <w:p>
            <w:pPr>
              <w:tabs>
                <w:tab w:val="left" w:pos="837"/>
                <w:tab w:val="left" w:pos="5142"/>
              </w:tabs>
              <w:adjustRightInd w:val="0"/>
              <w:snapToGrid w:val="0"/>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3、声环境质量标准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根据《南京市声环境功能区划分调整方案》（宁政发[2014]34号），项目区域为2类声环境功能区，噪声执行《声环境质量标准》（GB3096-2008）中的2类区标准，</w:t>
            </w:r>
            <w:r>
              <w:rPr>
                <w:rFonts w:hint="eastAsia" w:ascii="Times New Roman" w:hAnsi="Times New Roman" w:eastAsia="仿宋_GB2312"/>
                <w:color w:val="000000"/>
                <w:sz w:val="24"/>
                <w:szCs w:val="24"/>
              </w:rPr>
              <w:t>临凤凰西街次干道建筑以高于三层楼房以上（含三层）的建筑为主，以第一排建筑物面向道路一侧至道路边界线(道路红线)的区域执行《声环境质量标准》（GB3096-2008）中4a类标准。</w:t>
            </w:r>
            <w:r>
              <w:rPr>
                <w:rFonts w:ascii="Times New Roman" w:hAnsi="Times New Roman" w:eastAsia="仿宋_GB2312"/>
                <w:color w:val="000000"/>
                <w:sz w:val="24"/>
                <w:szCs w:val="24"/>
              </w:rPr>
              <w:t>详见表4-3。</w:t>
            </w:r>
          </w:p>
          <w:p>
            <w:pPr>
              <w:adjustRightInd w:val="0"/>
              <w:snapToGrid w:val="0"/>
              <w:spacing w:line="480" w:lineRule="exact"/>
              <w:ind w:firstLine="7" w:firstLineChars="3"/>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表4-3 声环境质量标准限值</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982"/>
              <w:gridCol w:w="1843"/>
              <w:gridCol w:w="2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886" w:type="pct"/>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类别</w:t>
                  </w:r>
                </w:p>
              </w:tc>
              <w:tc>
                <w:tcPr>
                  <w:tcW w:w="1261" w:type="pct"/>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昼间（dB(A)）</w:t>
                  </w:r>
                </w:p>
              </w:tc>
              <w:tc>
                <w:tcPr>
                  <w:tcW w:w="1173" w:type="pct"/>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夜间（dB(A)）</w:t>
                  </w:r>
                </w:p>
              </w:tc>
              <w:tc>
                <w:tcPr>
                  <w:tcW w:w="1679" w:type="pct"/>
                  <w:shd w:val="clear" w:color="auto" w:fill="auto"/>
                  <w:vAlign w:val="center"/>
                </w:tcPr>
                <w:p>
                  <w:pPr>
                    <w:pStyle w:val="102"/>
                    <w:adjustRightInd w:val="0"/>
                    <w:snapToGrid w:val="0"/>
                    <w:rPr>
                      <w:rFonts w:ascii="Times New Roman"/>
                      <w:b/>
                      <w:bCs/>
                      <w:color w:val="000000"/>
                      <w:kern w:val="0"/>
                      <w:sz w:val="21"/>
                      <w:szCs w:val="21"/>
                    </w:rPr>
                  </w:pPr>
                  <w:r>
                    <w:rPr>
                      <w:rFonts w:ascii="Times New Roman"/>
                      <w:b/>
                      <w:bCs/>
                      <w:color w:val="000000"/>
                      <w:kern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6"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2类</w:t>
                  </w:r>
                </w:p>
              </w:tc>
              <w:tc>
                <w:tcPr>
                  <w:tcW w:w="1261"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60</w:t>
                  </w:r>
                </w:p>
              </w:tc>
              <w:tc>
                <w:tcPr>
                  <w:tcW w:w="1173"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50</w:t>
                  </w:r>
                </w:p>
              </w:tc>
              <w:tc>
                <w:tcPr>
                  <w:tcW w:w="1679" w:type="pct"/>
                  <w:shd w:val="clear" w:color="auto" w:fill="auto"/>
                  <w:vAlign w:val="center"/>
                </w:tcPr>
                <w:p>
                  <w:pPr>
                    <w:pStyle w:val="102"/>
                    <w:adjustRightInd w:val="0"/>
                    <w:snapToGrid w:val="0"/>
                    <w:rPr>
                      <w:rFonts w:ascii="Times New Roman"/>
                      <w:color w:val="000000"/>
                      <w:kern w:val="0"/>
                      <w:sz w:val="21"/>
                      <w:szCs w:val="21"/>
                    </w:rPr>
                  </w:pPr>
                  <w:r>
                    <w:rPr>
                      <w:rFonts w:ascii="Times New Roman"/>
                      <w:color w:val="000000"/>
                      <w:kern w:val="0"/>
                      <w:sz w:val="21"/>
                      <w:szCs w:val="21"/>
                    </w:rPr>
                    <w:t>《声环境质量标准》</w:t>
                  </w:r>
                </w:p>
                <w:p>
                  <w:pPr>
                    <w:pStyle w:val="102"/>
                    <w:adjustRightInd w:val="0"/>
                    <w:snapToGrid w:val="0"/>
                    <w:rPr>
                      <w:rFonts w:ascii="Times New Roman"/>
                      <w:color w:val="000000"/>
                      <w:kern w:val="0"/>
                      <w:sz w:val="21"/>
                      <w:szCs w:val="21"/>
                    </w:rPr>
                  </w:pPr>
                  <w:r>
                    <w:rPr>
                      <w:rFonts w:ascii="Times New Roman"/>
                      <w:color w:val="000000"/>
                      <w:kern w:val="0"/>
                      <w:sz w:val="21"/>
                      <w:szCs w:val="21"/>
                    </w:rPr>
                    <w:t>（GB3096-2008）2类标准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6"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4a类</w:t>
                  </w:r>
                </w:p>
              </w:tc>
              <w:tc>
                <w:tcPr>
                  <w:tcW w:w="1261"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7</w:t>
                  </w:r>
                  <w:r>
                    <w:rPr>
                      <w:rFonts w:ascii="Times New Roman" w:hAnsi="Times New Roman" w:eastAsia="仿宋_GB2312"/>
                      <w:color w:val="000000"/>
                      <w:szCs w:val="21"/>
                    </w:rPr>
                    <w:t>0</w:t>
                  </w:r>
                </w:p>
              </w:tc>
              <w:tc>
                <w:tcPr>
                  <w:tcW w:w="1173"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5</w:t>
                  </w:r>
                  <w:r>
                    <w:rPr>
                      <w:rFonts w:ascii="Times New Roman" w:hAnsi="Times New Roman" w:eastAsia="仿宋_GB2312"/>
                      <w:color w:val="000000"/>
                      <w:szCs w:val="21"/>
                    </w:rPr>
                    <w:t>5</w:t>
                  </w:r>
                </w:p>
              </w:tc>
              <w:tc>
                <w:tcPr>
                  <w:tcW w:w="1679" w:type="pct"/>
                  <w:shd w:val="clear" w:color="auto" w:fill="auto"/>
                  <w:vAlign w:val="center"/>
                </w:tcPr>
                <w:p>
                  <w:pPr>
                    <w:pStyle w:val="102"/>
                    <w:adjustRightInd w:val="0"/>
                    <w:snapToGrid w:val="0"/>
                    <w:rPr>
                      <w:rFonts w:ascii="Times New Roman"/>
                      <w:color w:val="000000"/>
                      <w:kern w:val="0"/>
                      <w:sz w:val="21"/>
                      <w:szCs w:val="21"/>
                    </w:rPr>
                  </w:pPr>
                  <w:r>
                    <w:rPr>
                      <w:rFonts w:ascii="Times New Roman"/>
                      <w:color w:val="000000"/>
                      <w:kern w:val="0"/>
                      <w:sz w:val="21"/>
                      <w:szCs w:val="21"/>
                    </w:rPr>
                    <w:t>《声环境质量标准》</w:t>
                  </w:r>
                </w:p>
                <w:p>
                  <w:pPr>
                    <w:pStyle w:val="102"/>
                    <w:adjustRightInd w:val="0"/>
                    <w:snapToGrid w:val="0"/>
                    <w:rPr>
                      <w:rFonts w:ascii="Times New Roman"/>
                      <w:color w:val="000000"/>
                      <w:kern w:val="0"/>
                      <w:sz w:val="21"/>
                      <w:szCs w:val="21"/>
                    </w:rPr>
                  </w:pPr>
                  <w:r>
                    <w:rPr>
                      <w:rFonts w:ascii="Times New Roman"/>
                      <w:color w:val="000000"/>
                      <w:kern w:val="0"/>
                      <w:sz w:val="21"/>
                      <w:szCs w:val="21"/>
                    </w:rPr>
                    <w:t>（GB3096-2008）4</w:t>
                  </w:r>
                  <w:r>
                    <w:rPr>
                      <w:rFonts w:hint="eastAsia" w:ascii="Times New Roman"/>
                      <w:color w:val="000000"/>
                      <w:kern w:val="0"/>
                      <w:sz w:val="21"/>
                      <w:szCs w:val="21"/>
                    </w:rPr>
                    <w:t>a</w:t>
                  </w:r>
                  <w:r>
                    <w:rPr>
                      <w:rFonts w:ascii="Times New Roman"/>
                      <w:color w:val="000000"/>
                      <w:kern w:val="0"/>
                      <w:sz w:val="21"/>
                      <w:szCs w:val="21"/>
                    </w:rPr>
                    <w:t>类标准</w:t>
                  </w:r>
                </w:p>
              </w:tc>
            </w:tr>
          </w:tbl>
          <w:p>
            <w:pPr>
              <w:spacing w:line="480" w:lineRule="exact"/>
              <w:rPr>
                <w:rFonts w:ascii="Times New Roman" w:hAnsi="Times New Roman"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5" w:hRule="atLeast"/>
        </w:trPr>
        <w:tc>
          <w:tcPr>
            <w:tcW w:w="457" w:type="dxa"/>
            <w:vAlign w:val="center"/>
          </w:tcPr>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污</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染</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物</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排</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放</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标</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color w:val="000000"/>
                <w:sz w:val="24"/>
                <w:szCs w:val="24"/>
              </w:rPr>
            </w:pPr>
            <w:r>
              <w:rPr>
                <w:rFonts w:ascii="Times New Roman" w:hAnsi="Times New Roman" w:eastAsia="仿宋_GB2312"/>
                <w:b/>
                <w:bCs/>
                <w:color w:val="000000"/>
                <w:sz w:val="24"/>
                <w:szCs w:val="24"/>
              </w:rPr>
              <w:t>准</w:t>
            </w:r>
          </w:p>
        </w:tc>
        <w:tc>
          <w:tcPr>
            <w:tcW w:w="8072" w:type="dxa"/>
          </w:tcPr>
          <w:p>
            <w:pPr>
              <w:adjustRightInd w:val="0"/>
              <w:snapToGrid w:val="0"/>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1、废气</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项目产生的VOC</w:t>
            </w:r>
            <w:r>
              <w:rPr>
                <w:rFonts w:ascii="Times New Roman" w:hAnsi="Times New Roman" w:eastAsia="仿宋_GB2312"/>
                <w:color w:val="000000"/>
                <w:sz w:val="24"/>
                <w:szCs w:val="24"/>
                <w:vertAlign w:val="subscript"/>
              </w:rPr>
              <w:t>S</w:t>
            </w:r>
            <w:r>
              <w:rPr>
                <w:rFonts w:ascii="Times New Roman" w:hAnsi="Times New Roman" w:eastAsia="仿宋_GB2312"/>
                <w:color w:val="000000"/>
                <w:sz w:val="24"/>
                <w:szCs w:val="24"/>
              </w:rPr>
              <w:t>排放参照执行天津市《工业企业挥发性有机物排放控制标准》（DB 12/524-2020）表1中其他行业标准及表5中标准，氯化氢、氮氧化物、硫酸雾、氟化物执行《大气污染物综合排放标准》（GB 16297-1996）表2中二级标准，具体标准值见表4-4。</w:t>
            </w: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表4-4 大气污染物排放标准</w:t>
            </w:r>
          </w:p>
          <w:tbl>
            <w:tblPr>
              <w:tblStyle w:val="3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219"/>
              <w:gridCol w:w="1013"/>
              <w:gridCol w:w="690"/>
              <w:gridCol w:w="656"/>
              <w:gridCol w:w="1221"/>
              <w:gridCol w:w="2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restart"/>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污染物</w:t>
                  </w:r>
                </w:p>
              </w:tc>
              <w:tc>
                <w:tcPr>
                  <w:tcW w:w="1078" w:type="dxa"/>
                  <w:vMerge w:val="restart"/>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最高允许排放浓度（mg/m</w:t>
                  </w:r>
                  <w:r>
                    <w:rPr>
                      <w:rFonts w:ascii="Times New Roman" w:hAnsi="Times New Roman" w:eastAsia="仿宋_GB2312"/>
                      <w:b/>
                      <w:bCs w:val="0"/>
                      <w:color w:val="000000"/>
                      <w:szCs w:val="21"/>
                      <w:vertAlign w:val="superscript"/>
                    </w:rPr>
                    <w:t>3</w:t>
                  </w:r>
                  <w:r>
                    <w:rPr>
                      <w:rFonts w:ascii="Times New Roman" w:hAnsi="Times New Roman" w:eastAsia="仿宋_GB2312"/>
                      <w:b/>
                      <w:bCs w:val="0"/>
                      <w:color w:val="000000"/>
                      <w:szCs w:val="21"/>
                    </w:rPr>
                    <w:t>）</w:t>
                  </w:r>
                </w:p>
              </w:tc>
              <w:tc>
                <w:tcPr>
                  <w:tcW w:w="1757" w:type="dxa"/>
                  <w:gridSpan w:val="2"/>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最高允许排放速率（kg/h）</w:t>
                  </w:r>
                </w:p>
              </w:tc>
              <w:tc>
                <w:tcPr>
                  <w:tcW w:w="1917" w:type="dxa"/>
                  <w:gridSpan w:val="2"/>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无组织排放监控浓度限值</w:t>
                  </w:r>
                </w:p>
              </w:tc>
              <w:tc>
                <w:tcPr>
                  <w:tcW w:w="2001" w:type="dxa"/>
                  <w:vMerge w:val="restar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b/>
                      <w:bCs w:val="0"/>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Merge w:val="continue"/>
                  <w:shd w:val="clear" w:color="auto" w:fill="auto"/>
                  <w:vAlign w:val="center"/>
                </w:tcPr>
                <w:p>
                  <w:pPr>
                    <w:pStyle w:val="90"/>
                    <w:spacing w:line="240" w:lineRule="auto"/>
                    <w:rPr>
                      <w:rFonts w:ascii="Times New Roman" w:hAnsi="Times New Roman" w:eastAsia="仿宋_GB2312"/>
                      <w:b/>
                      <w:bCs w:val="0"/>
                      <w:color w:val="000000"/>
                      <w:szCs w:val="21"/>
                    </w:rPr>
                  </w:pPr>
                </w:p>
              </w:tc>
              <w:tc>
                <w:tcPr>
                  <w:tcW w:w="1078" w:type="dxa"/>
                  <w:vMerge w:val="continue"/>
                  <w:shd w:val="clear" w:color="auto" w:fill="auto"/>
                  <w:vAlign w:val="center"/>
                </w:tcPr>
                <w:p>
                  <w:pPr>
                    <w:pStyle w:val="90"/>
                    <w:spacing w:line="240" w:lineRule="auto"/>
                    <w:rPr>
                      <w:rFonts w:ascii="Times New Roman" w:hAnsi="Times New Roman" w:eastAsia="仿宋_GB2312"/>
                      <w:b/>
                      <w:bCs w:val="0"/>
                      <w:color w:val="000000"/>
                      <w:szCs w:val="21"/>
                    </w:rPr>
                  </w:pPr>
                </w:p>
              </w:tc>
              <w:tc>
                <w:tcPr>
                  <w:tcW w:w="1048" w:type="dxa"/>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排气筒高度（m）</w:t>
                  </w:r>
                </w:p>
              </w:tc>
              <w:tc>
                <w:tcPr>
                  <w:tcW w:w="709" w:type="dxa"/>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二级</w:t>
                  </w:r>
                </w:p>
              </w:tc>
              <w:tc>
                <w:tcPr>
                  <w:tcW w:w="696" w:type="dxa"/>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监控点</w:t>
                  </w:r>
                </w:p>
              </w:tc>
              <w:tc>
                <w:tcPr>
                  <w:tcW w:w="1221" w:type="dxa"/>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b/>
                      <w:bCs w:val="0"/>
                      <w:color w:val="000000"/>
                      <w:szCs w:val="21"/>
                    </w:rPr>
                    <w:t>浓度（mg/m</w:t>
                  </w:r>
                  <w:r>
                    <w:rPr>
                      <w:rFonts w:ascii="Times New Roman" w:hAnsi="Times New Roman" w:eastAsia="仿宋_GB2312"/>
                      <w:b/>
                      <w:bCs w:val="0"/>
                      <w:color w:val="000000"/>
                      <w:szCs w:val="21"/>
                      <w:vertAlign w:val="superscript"/>
                    </w:rPr>
                    <w:t>3</w:t>
                  </w:r>
                  <w:r>
                    <w:rPr>
                      <w:rFonts w:ascii="Times New Roman" w:hAnsi="Times New Roman" w:eastAsia="仿宋_GB2312"/>
                      <w:b/>
                      <w:bCs w:val="0"/>
                      <w:color w:val="000000"/>
                      <w:szCs w:val="21"/>
                    </w:rPr>
                    <w:t>）</w:t>
                  </w:r>
                </w:p>
              </w:tc>
              <w:tc>
                <w:tcPr>
                  <w:tcW w:w="2001" w:type="dxa"/>
                  <w:vMerge w:val="continue"/>
                  <w:shd w:val="clear" w:color="auto" w:fill="auto"/>
                  <w:vAlign w:val="center"/>
                </w:tcPr>
                <w:p>
                  <w:pPr>
                    <w:pStyle w:val="90"/>
                    <w:spacing w:line="240" w:lineRule="auto"/>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shd w:val="clear" w:color="auto" w:fill="auto"/>
                  <w:vAlign w:val="center"/>
                </w:tcPr>
                <w:p>
                  <w:pPr>
                    <w:pStyle w:val="90"/>
                    <w:spacing w:line="240" w:lineRule="auto"/>
                    <w:rPr>
                      <w:rFonts w:ascii="Times New Roman" w:hAnsi="Times New Roman" w:eastAsia="仿宋_GB2312"/>
                      <w:b/>
                      <w:bCs w:val="0"/>
                      <w:color w:val="000000"/>
                      <w:szCs w:val="21"/>
                    </w:rPr>
                  </w:pPr>
                  <w:r>
                    <w:rPr>
                      <w:rFonts w:ascii="Times New Roman" w:hAnsi="Times New Roman" w:eastAsia="仿宋_GB2312"/>
                      <w:color w:val="000000"/>
                      <w:szCs w:val="21"/>
                    </w:rPr>
                    <w:t>VOC</w:t>
                  </w:r>
                  <w:r>
                    <w:rPr>
                      <w:rFonts w:ascii="Times New Roman" w:hAnsi="Times New Roman" w:eastAsia="仿宋_GB2312"/>
                      <w:color w:val="000000"/>
                      <w:szCs w:val="21"/>
                      <w:vertAlign w:val="subscript"/>
                    </w:rPr>
                    <w:t>S</w:t>
                  </w:r>
                </w:p>
              </w:tc>
              <w:tc>
                <w:tcPr>
                  <w:tcW w:w="1078"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60</w:t>
                  </w:r>
                </w:p>
              </w:tc>
              <w:tc>
                <w:tcPr>
                  <w:tcW w:w="1048"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25</w:t>
                  </w:r>
                </w:p>
              </w:tc>
              <w:tc>
                <w:tcPr>
                  <w:tcW w:w="709"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4.6</w:t>
                  </w:r>
                </w:p>
              </w:tc>
              <w:tc>
                <w:tcPr>
                  <w:tcW w:w="696" w:type="dxa"/>
                  <w:vMerge w:val="restar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厂界监控点浓度限值</w:t>
                  </w:r>
                </w:p>
              </w:tc>
              <w:tc>
                <w:tcPr>
                  <w:tcW w:w="1221"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2.0</w:t>
                  </w:r>
                </w:p>
              </w:tc>
              <w:tc>
                <w:tcPr>
                  <w:tcW w:w="2001"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天津市《工业企业挥发性有机物排放控制标准》（DB12/524-2020）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氯化氢</w:t>
                  </w:r>
                </w:p>
              </w:tc>
              <w:tc>
                <w:tcPr>
                  <w:tcW w:w="107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100</w:t>
                  </w:r>
                </w:p>
              </w:tc>
              <w:tc>
                <w:tcPr>
                  <w:tcW w:w="104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25</w:t>
                  </w:r>
                </w:p>
              </w:tc>
              <w:tc>
                <w:tcPr>
                  <w:tcW w:w="709"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0.46</w:t>
                  </w:r>
                </w:p>
              </w:tc>
              <w:tc>
                <w:tcPr>
                  <w:tcW w:w="696" w:type="dxa"/>
                  <w:vMerge w:val="continue"/>
                  <w:shd w:val="clear" w:color="auto" w:fill="auto"/>
                  <w:vAlign w:val="center"/>
                </w:tcPr>
                <w:p>
                  <w:pPr>
                    <w:pStyle w:val="90"/>
                    <w:spacing w:line="240" w:lineRule="auto"/>
                    <w:rPr>
                      <w:rFonts w:ascii="Times New Roman" w:hAnsi="Times New Roman" w:eastAsia="仿宋_GB2312"/>
                      <w:color w:val="000000"/>
                      <w:szCs w:val="21"/>
                    </w:rPr>
                  </w:pPr>
                </w:p>
              </w:tc>
              <w:tc>
                <w:tcPr>
                  <w:tcW w:w="1221"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0.2</w:t>
                  </w:r>
                </w:p>
              </w:tc>
              <w:tc>
                <w:tcPr>
                  <w:tcW w:w="2001" w:type="dxa"/>
                  <w:vMerge w:val="restar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《大气污染物综合排放标准》（GB 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107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240</w:t>
                  </w:r>
                </w:p>
              </w:tc>
              <w:tc>
                <w:tcPr>
                  <w:tcW w:w="104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25</w:t>
                  </w:r>
                </w:p>
              </w:tc>
              <w:tc>
                <w:tcPr>
                  <w:tcW w:w="709"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1.43</w:t>
                  </w:r>
                </w:p>
              </w:tc>
              <w:tc>
                <w:tcPr>
                  <w:tcW w:w="696" w:type="dxa"/>
                  <w:vMerge w:val="continue"/>
                  <w:shd w:val="clear" w:color="auto" w:fill="auto"/>
                  <w:vAlign w:val="center"/>
                </w:tcPr>
                <w:p>
                  <w:pPr>
                    <w:pStyle w:val="90"/>
                    <w:spacing w:line="240" w:lineRule="auto"/>
                    <w:rPr>
                      <w:rFonts w:ascii="Times New Roman" w:hAnsi="Times New Roman" w:eastAsia="仿宋_GB2312"/>
                      <w:color w:val="000000"/>
                      <w:szCs w:val="21"/>
                    </w:rPr>
                  </w:pPr>
                </w:p>
              </w:tc>
              <w:tc>
                <w:tcPr>
                  <w:tcW w:w="1221"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0.12</w:t>
                  </w:r>
                </w:p>
              </w:tc>
              <w:tc>
                <w:tcPr>
                  <w:tcW w:w="2001" w:type="dxa"/>
                  <w:vMerge w:val="continue"/>
                  <w:shd w:val="clear" w:color="auto" w:fill="auto"/>
                  <w:vAlign w:val="center"/>
                </w:tcPr>
                <w:p>
                  <w:pPr>
                    <w:pStyle w:val="90"/>
                    <w:spacing w:line="240" w:lineRule="auto"/>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107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45</w:t>
                  </w:r>
                </w:p>
              </w:tc>
              <w:tc>
                <w:tcPr>
                  <w:tcW w:w="104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25</w:t>
                  </w:r>
                </w:p>
              </w:tc>
              <w:tc>
                <w:tcPr>
                  <w:tcW w:w="709"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2.85</w:t>
                  </w:r>
                </w:p>
              </w:tc>
              <w:tc>
                <w:tcPr>
                  <w:tcW w:w="696" w:type="dxa"/>
                  <w:vMerge w:val="continue"/>
                  <w:shd w:val="clear" w:color="auto" w:fill="auto"/>
                  <w:vAlign w:val="center"/>
                </w:tcPr>
                <w:p>
                  <w:pPr>
                    <w:pStyle w:val="90"/>
                    <w:spacing w:line="240" w:lineRule="auto"/>
                    <w:rPr>
                      <w:rFonts w:ascii="Times New Roman" w:hAnsi="Times New Roman" w:eastAsia="仿宋_GB2312"/>
                      <w:color w:val="000000"/>
                      <w:szCs w:val="21"/>
                    </w:rPr>
                  </w:pPr>
                </w:p>
              </w:tc>
              <w:tc>
                <w:tcPr>
                  <w:tcW w:w="1221"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1.2</w:t>
                  </w:r>
                </w:p>
              </w:tc>
              <w:tc>
                <w:tcPr>
                  <w:tcW w:w="2001" w:type="dxa"/>
                  <w:vMerge w:val="continue"/>
                  <w:shd w:val="clear" w:color="auto" w:fill="auto"/>
                  <w:vAlign w:val="center"/>
                </w:tcPr>
                <w:p>
                  <w:pPr>
                    <w:pStyle w:val="90"/>
                    <w:spacing w:line="240" w:lineRule="auto"/>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107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9</w:t>
                  </w:r>
                </w:p>
              </w:tc>
              <w:tc>
                <w:tcPr>
                  <w:tcW w:w="1048"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25</w:t>
                  </w:r>
                </w:p>
              </w:tc>
              <w:tc>
                <w:tcPr>
                  <w:tcW w:w="709"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0.19</w:t>
                  </w:r>
                </w:p>
              </w:tc>
              <w:tc>
                <w:tcPr>
                  <w:tcW w:w="696" w:type="dxa"/>
                  <w:vMerge w:val="continue"/>
                  <w:shd w:val="clear" w:color="auto" w:fill="auto"/>
                  <w:vAlign w:val="center"/>
                </w:tcPr>
                <w:p>
                  <w:pPr>
                    <w:pStyle w:val="90"/>
                    <w:spacing w:line="240" w:lineRule="auto"/>
                    <w:rPr>
                      <w:rFonts w:ascii="Times New Roman" w:hAnsi="Times New Roman" w:eastAsia="仿宋_GB2312"/>
                      <w:color w:val="000000"/>
                      <w:szCs w:val="21"/>
                    </w:rPr>
                  </w:pPr>
                </w:p>
              </w:tc>
              <w:tc>
                <w:tcPr>
                  <w:tcW w:w="1221" w:type="dxa"/>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0.02</w:t>
                  </w:r>
                </w:p>
              </w:tc>
              <w:tc>
                <w:tcPr>
                  <w:tcW w:w="2001" w:type="dxa"/>
                  <w:vMerge w:val="continue"/>
                  <w:shd w:val="clear" w:color="auto" w:fill="auto"/>
                  <w:vAlign w:val="center"/>
                </w:tcPr>
                <w:p>
                  <w:pPr>
                    <w:pStyle w:val="90"/>
                    <w:spacing w:line="240" w:lineRule="auto"/>
                    <w:rPr>
                      <w:rFonts w:ascii="Times New Roman" w:hAnsi="Times New Roman" w:eastAsia="仿宋_GB2312"/>
                      <w:color w:val="000000"/>
                      <w:szCs w:val="21"/>
                    </w:rPr>
                  </w:pPr>
                </w:p>
              </w:tc>
            </w:tr>
          </w:tbl>
          <w:p>
            <w:pPr>
              <w:adjustRightInd w:val="0"/>
              <w:snapToGrid w:val="0"/>
              <w:ind w:firstLine="210" w:firstLineChars="100"/>
              <w:rPr>
                <w:rFonts w:ascii="Times New Roman" w:hAnsi="Times New Roman" w:eastAsia="仿宋_GB2312"/>
                <w:bCs/>
                <w:color w:val="000000"/>
                <w:szCs w:val="21"/>
              </w:rPr>
            </w:pPr>
            <w:r>
              <w:rPr>
                <w:rFonts w:ascii="Times New Roman" w:hAnsi="Times New Roman" w:eastAsia="仿宋_GB2312"/>
                <w:bCs/>
                <w:color w:val="000000"/>
                <w:szCs w:val="21"/>
              </w:rPr>
              <w:t>注：因排气筒高度未高出周围200米半径范围的建筑5米以上，应按其高度对应的表列排放速率标准值严格50%执行。表中最高允许排放速率为标准值50%计算值。</w:t>
            </w:r>
          </w:p>
          <w:p>
            <w:pPr>
              <w:adjustRightInd w:val="0"/>
              <w:snapToGrid w:val="0"/>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2、废水</w:t>
            </w:r>
          </w:p>
          <w:p>
            <w:pPr>
              <w:adjustRightInd w:val="0"/>
              <w:snapToGrid w:val="0"/>
              <w:spacing w:line="500" w:lineRule="exact"/>
              <w:ind w:firstLine="480" w:firstLineChars="200"/>
              <w:rPr>
                <w:rFonts w:ascii="Times New Roman" w:hAnsi="Times New Roman" w:eastAsia="仿宋_GB2312"/>
                <w:color w:val="000000"/>
                <w:spacing w:val="-3"/>
                <w:sz w:val="24"/>
                <w:szCs w:val="24"/>
              </w:rPr>
            </w:pPr>
            <w:r>
              <w:rPr>
                <w:rFonts w:hint="eastAsia" w:ascii="Times New Roman" w:hAnsi="Times New Roman" w:eastAsia="仿宋_GB2312"/>
                <w:color w:val="000000"/>
                <w:sz w:val="24"/>
              </w:rPr>
              <w:t>本项目废水主要为生活污水、反冲洗废水和反渗透浓水，仪器及器皿润洗废水，实验仪器及器皿清洗废水、循环冷却系统废水、实验室台面及地面擦洗废水，废水总量约为282.812t/a。实验仪器及器皿清洗废水中，前两道废水污染物浓度相对较高，与科研检测废液（含微量重金属标样残液）一道收集后作为危废委托有资质企业处置，除此之外的废水与生活污水一并经化粪池预处理达到《污水排入城镇下水道水质标准》（GB/T31962-2015）表1中B级标准后，排入市政污水管网至江心洲污水处理厂处理，处理厂尾水达到《城镇污水处理厂污染物排放标准》（GB18918-2002）一级A标准，氟化物(以F-计)达到《污水综合排放标准》（GB 8978-1996）一级标准标准限值后排入长江。</w:t>
            </w:r>
          </w:p>
          <w:p>
            <w:pPr>
              <w:adjustRightInd w:val="0"/>
              <w:snapToGrid w:val="0"/>
              <w:spacing w:line="480" w:lineRule="exact"/>
              <w:jc w:val="center"/>
              <w:rPr>
                <w:rFonts w:ascii="Times New Roman" w:hAnsi="Times New Roman" w:eastAsia="仿宋_GB2312"/>
                <w:b/>
                <w:color w:val="000000"/>
                <w:sz w:val="24"/>
                <w:szCs w:val="24"/>
              </w:rPr>
            </w:pP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表4-5 水污染物排放标准</w:t>
            </w:r>
          </w:p>
          <w:tbl>
            <w:tblPr>
              <w:tblStyle w:val="3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1780"/>
              <w:gridCol w:w="1823"/>
              <w:gridCol w:w="2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项目</w:t>
                  </w:r>
                </w:p>
              </w:tc>
              <w:tc>
                <w:tcPr>
                  <w:tcW w:w="1780" w:type="dxa"/>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污染物</w:t>
                  </w:r>
                </w:p>
              </w:tc>
              <w:tc>
                <w:tcPr>
                  <w:tcW w:w="1823" w:type="dxa"/>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标准值（mg/L）</w:t>
                  </w:r>
                </w:p>
              </w:tc>
              <w:tc>
                <w:tcPr>
                  <w:tcW w:w="2816" w:type="dxa"/>
                  <w:shd w:val="clear" w:color="auto" w:fill="auto"/>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标准来源和依据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restar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接管标准</w:t>
                  </w: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pH</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6.5～9.5（无量纲）</w:t>
                  </w:r>
                </w:p>
              </w:tc>
              <w:tc>
                <w:tcPr>
                  <w:tcW w:w="2816" w:type="dxa"/>
                  <w:vMerge w:val="restart"/>
                  <w:shd w:val="clear" w:color="auto" w:fill="auto"/>
                  <w:vAlign w:val="center"/>
                </w:tcPr>
                <w:p>
                  <w:pPr>
                    <w:adjustRightInd w:val="0"/>
                    <w:snapToGrid w:val="0"/>
                    <w:rPr>
                      <w:rFonts w:ascii="Times New Roman" w:hAnsi="Times New Roman" w:eastAsia="仿宋_GB2312"/>
                      <w:color w:val="000000"/>
                      <w:szCs w:val="21"/>
                    </w:rPr>
                  </w:pPr>
                  <w:r>
                    <w:rPr>
                      <w:rFonts w:ascii="Times New Roman" w:hAnsi="Times New Roman" w:eastAsia="仿宋_GB2312"/>
                      <w:color w:val="000000"/>
                      <w:szCs w:val="21"/>
                    </w:rPr>
                    <w:t>《污水排入城镇下水道水质标准》（GB/T 31962-2015）表1中B级标准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COD</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500</w:t>
                  </w:r>
                </w:p>
              </w:tc>
              <w:tc>
                <w:tcPr>
                  <w:tcW w:w="2816" w:type="dxa"/>
                  <w:vMerge w:val="continue"/>
                  <w:shd w:val="clear" w:color="auto" w:fill="auto"/>
                  <w:vAlign w:val="center"/>
                </w:tcPr>
                <w:p>
                  <w:pPr>
                    <w:adjustRightInd w:val="0"/>
                    <w:snapToGrid w:val="0"/>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SS</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400</w:t>
                  </w:r>
                </w:p>
              </w:tc>
              <w:tc>
                <w:tcPr>
                  <w:tcW w:w="2816" w:type="dxa"/>
                  <w:vMerge w:val="continue"/>
                  <w:shd w:val="clear" w:color="auto" w:fill="auto"/>
                  <w:vAlign w:val="center"/>
                </w:tcPr>
                <w:p>
                  <w:pPr>
                    <w:adjustRightInd w:val="0"/>
                    <w:snapToGrid w:val="0"/>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NH</w:t>
                  </w:r>
                  <w:r>
                    <w:rPr>
                      <w:rFonts w:ascii="Times New Roman" w:hAnsi="Times New Roman" w:eastAsia="仿宋_GB2312"/>
                      <w:color w:val="000000"/>
                      <w:szCs w:val="21"/>
                      <w:vertAlign w:val="subscript"/>
                    </w:rPr>
                    <w:t>3</w:t>
                  </w:r>
                  <w:r>
                    <w:rPr>
                      <w:rFonts w:ascii="Times New Roman" w:hAnsi="Times New Roman" w:eastAsia="仿宋_GB2312"/>
                      <w:color w:val="000000"/>
                      <w:szCs w:val="21"/>
                    </w:rPr>
                    <w:t>-N</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45</w:t>
                  </w:r>
                </w:p>
              </w:tc>
              <w:tc>
                <w:tcPr>
                  <w:tcW w:w="2816" w:type="dxa"/>
                  <w:vMerge w:val="continue"/>
                  <w:shd w:val="clear" w:color="auto" w:fill="auto"/>
                  <w:vAlign w:val="center"/>
                </w:tcPr>
                <w:p>
                  <w:pPr>
                    <w:adjustRightInd w:val="0"/>
                    <w:snapToGrid w:val="0"/>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总磷</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8</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20</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L</w:t>
                  </w:r>
                  <w:r>
                    <w:rPr>
                      <w:rFonts w:ascii="Times New Roman" w:hAnsi="Times New Roman" w:eastAsia="仿宋_GB2312"/>
                      <w:color w:val="000000"/>
                      <w:szCs w:val="21"/>
                    </w:rPr>
                    <w:t>AS</w:t>
                  </w:r>
                </w:p>
              </w:tc>
              <w:tc>
                <w:tcPr>
                  <w:tcW w:w="1823" w:type="dxa"/>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2</w:t>
                  </w:r>
                  <w:r>
                    <w:rPr>
                      <w:rFonts w:ascii="Times New Roman" w:hAnsi="Times New Roman" w:eastAsia="仿宋_GB2312"/>
                      <w:color w:val="000000"/>
                      <w:szCs w:val="21"/>
                    </w:rPr>
                    <w:t>0</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restar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bCs/>
                      <w:color w:val="000000"/>
                      <w:szCs w:val="21"/>
                    </w:rPr>
                    <w:t>尾水排放标准</w:t>
                  </w: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pH</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ascii="Times New Roman" w:hAnsi="Times New Roman" w:eastAsia="仿宋_GB2312"/>
                      <w:color w:val="000000"/>
                      <w:szCs w:val="21"/>
                    </w:rPr>
                    <w:t>6～9（无量纲）</w:t>
                  </w:r>
                </w:p>
              </w:tc>
              <w:tc>
                <w:tcPr>
                  <w:tcW w:w="2816" w:type="dxa"/>
                  <w:vMerge w:val="restar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《城镇污水处理厂污染物排放标准》（GB18918-2002）表1中一级A标准。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COD</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ascii="Times New Roman" w:hAnsi="Times New Roman" w:eastAsia="仿宋_GB2312"/>
                      <w:color w:val="000000"/>
                      <w:szCs w:val="21"/>
                    </w:rPr>
                    <w:t>50</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SS</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ascii="Times New Roman" w:hAnsi="Times New Roman" w:eastAsia="仿宋_GB2312"/>
                      <w:color w:val="000000"/>
                      <w:szCs w:val="21"/>
                    </w:rPr>
                    <w:t>10</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NH</w:t>
                  </w:r>
                  <w:r>
                    <w:rPr>
                      <w:rFonts w:ascii="Times New Roman" w:hAnsi="Times New Roman" w:eastAsia="仿宋_GB2312"/>
                      <w:color w:val="000000"/>
                      <w:szCs w:val="21"/>
                      <w:vertAlign w:val="subscript"/>
                    </w:rPr>
                    <w:t>3</w:t>
                  </w:r>
                  <w:r>
                    <w:rPr>
                      <w:rFonts w:ascii="Times New Roman" w:hAnsi="Times New Roman" w:eastAsia="仿宋_GB2312"/>
                      <w:color w:val="000000"/>
                      <w:szCs w:val="21"/>
                    </w:rPr>
                    <w:t>-N</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ascii="Times New Roman" w:hAnsi="Times New Roman" w:eastAsia="仿宋_GB2312"/>
                      <w:color w:val="000000"/>
                      <w:szCs w:val="21"/>
                    </w:rPr>
                    <w:t>5（8）</w:t>
                  </w:r>
                  <w:r>
                    <w:rPr>
                      <w:rFonts w:ascii="Times New Roman" w:hAnsi="Times New Roman" w:eastAsia="仿宋_GB2312"/>
                      <w:bCs/>
                      <w:color w:val="000000"/>
                      <w:szCs w:val="21"/>
                      <w:vertAlign w:val="superscript"/>
                    </w:rPr>
                    <w:t>[1]</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总磷</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L</w:t>
                  </w:r>
                  <w:r>
                    <w:rPr>
                      <w:rFonts w:ascii="Times New Roman" w:hAnsi="Times New Roman" w:eastAsia="仿宋_GB2312"/>
                      <w:color w:val="000000"/>
                      <w:szCs w:val="21"/>
                    </w:rPr>
                    <w:t>AS</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.5</w:t>
                  </w:r>
                </w:p>
              </w:tc>
              <w:tc>
                <w:tcPr>
                  <w:tcW w:w="2816"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0" w:type="dxa"/>
                  <w:vMerge w:val="continue"/>
                  <w:shd w:val="clear" w:color="auto" w:fill="auto"/>
                  <w:vAlign w:val="center"/>
                </w:tcPr>
                <w:p>
                  <w:pPr>
                    <w:adjustRightInd w:val="0"/>
                    <w:snapToGrid w:val="0"/>
                    <w:jc w:val="center"/>
                    <w:rPr>
                      <w:rFonts w:ascii="Times New Roman" w:hAnsi="Times New Roman" w:eastAsia="仿宋_GB2312"/>
                      <w:color w:val="000000"/>
                      <w:szCs w:val="21"/>
                    </w:rPr>
                  </w:pPr>
                </w:p>
              </w:tc>
              <w:tc>
                <w:tcPr>
                  <w:tcW w:w="1780"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氟化物(以F</w:t>
                  </w:r>
                  <w:r>
                    <w:rPr>
                      <w:rFonts w:ascii="Times New Roman" w:hAnsi="Times New Roman" w:eastAsia="仿宋_GB2312"/>
                      <w:color w:val="000000"/>
                      <w:szCs w:val="21"/>
                      <w:vertAlign w:val="superscript"/>
                    </w:rPr>
                    <w:t>-</w:t>
                  </w:r>
                  <w:r>
                    <w:rPr>
                      <w:rFonts w:ascii="Times New Roman" w:hAnsi="Times New Roman" w:eastAsia="仿宋_GB2312"/>
                      <w:color w:val="000000"/>
                      <w:szCs w:val="21"/>
                    </w:rPr>
                    <w:t>计)</w:t>
                  </w:r>
                </w:p>
              </w:tc>
              <w:tc>
                <w:tcPr>
                  <w:tcW w:w="1823" w:type="dxa"/>
                  <w:shd w:val="clear" w:color="auto" w:fill="auto"/>
                  <w:vAlign w:val="center"/>
                </w:tcPr>
                <w:p>
                  <w:pPr>
                    <w:tabs>
                      <w:tab w:val="left" w:pos="720"/>
                    </w:tabs>
                    <w:jc w:val="center"/>
                    <w:rPr>
                      <w:rFonts w:ascii="Times New Roman" w:hAnsi="Times New Roman" w:eastAsia="仿宋_GB2312"/>
                      <w:color w:val="000000"/>
                      <w:szCs w:val="21"/>
                    </w:rPr>
                  </w:pPr>
                  <w:r>
                    <w:rPr>
                      <w:rFonts w:ascii="Times New Roman" w:hAnsi="Times New Roman" w:eastAsia="仿宋_GB2312"/>
                      <w:color w:val="000000"/>
                      <w:szCs w:val="21"/>
                    </w:rPr>
                    <w:t>10</w:t>
                  </w:r>
                </w:p>
              </w:tc>
              <w:tc>
                <w:tcPr>
                  <w:tcW w:w="2816" w:type="dxa"/>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《污水综合排放标准》（GB 8978-1996）一级标准</w:t>
                  </w:r>
                </w:p>
              </w:tc>
            </w:tr>
          </w:tbl>
          <w:p>
            <w:pPr>
              <w:adjustRightInd w:val="0"/>
              <w:snapToGrid w:val="0"/>
              <w:rPr>
                <w:rFonts w:ascii="Times New Roman" w:hAnsi="Times New Roman" w:eastAsia="仿宋_GB2312"/>
                <w:b/>
                <w:color w:val="000000"/>
                <w:szCs w:val="21"/>
              </w:rPr>
            </w:pPr>
            <w:r>
              <w:rPr>
                <w:rFonts w:ascii="Times New Roman" w:hAnsi="Times New Roman" w:eastAsia="仿宋_GB2312"/>
                <w:bCs/>
                <w:color w:val="000000"/>
                <w:szCs w:val="21"/>
              </w:rPr>
              <w:t>[1]：括号外数字为水温＞12℃时的控制指标，括号内数字为水温＜12℃时的控制指标。</w:t>
            </w:r>
          </w:p>
          <w:p>
            <w:pPr>
              <w:spacing w:line="480" w:lineRule="exact"/>
              <w:rPr>
                <w:rFonts w:ascii="Times New Roman" w:hAnsi="Times New Roman" w:eastAsia="仿宋_GB2312"/>
                <w:color w:val="000000"/>
                <w:sz w:val="24"/>
                <w:szCs w:val="24"/>
              </w:rPr>
            </w:pPr>
            <w:r>
              <w:rPr>
                <w:rFonts w:ascii="Times New Roman" w:hAnsi="Times New Roman" w:eastAsia="仿宋_GB2312"/>
                <w:b/>
                <w:color w:val="000000"/>
                <w:sz w:val="24"/>
                <w:szCs w:val="24"/>
              </w:rPr>
              <w:t>3、噪声排放标准</w:t>
            </w:r>
          </w:p>
          <w:p>
            <w:pPr>
              <w:adjustRightInd w:val="0"/>
              <w:snapToGrid w:val="0"/>
              <w:spacing w:line="48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项目施工期场界噪声执行《建筑施工场界环境噪声排放标准》（GB 12523-2011），其中夜间噪声最大声级超过限值的幅度不得高于15dB(A)，具体限值见下表。</w:t>
            </w: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表4-6 建筑施工场界环境噪声排放标准</w:t>
            </w:r>
          </w:p>
          <w:tbl>
            <w:tblPr>
              <w:tblStyle w:val="3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854"/>
              <w:gridCol w:w="1855"/>
              <w:gridCol w:w="33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9"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时期</w:t>
                  </w:r>
                </w:p>
              </w:tc>
              <w:tc>
                <w:tcPr>
                  <w:tcW w:w="1180"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昼间（</w:t>
                  </w:r>
                  <w:r>
                    <w:rPr>
                      <w:rFonts w:ascii="Times New Roman" w:hAnsi="Times New Roman" w:eastAsia="仿宋_GB2312"/>
                      <w:b/>
                      <w:color w:val="000000"/>
                      <w:szCs w:val="21"/>
                    </w:rPr>
                    <w:t>dB(A)</w:t>
                  </w:r>
                  <w:r>
                    <w:rPr>
                      <w:rFonts w:ascii="Times New Roman" w:hAnsi="Times New Roman" w:eastAsia="仿宋_GB2312"/>
                      <w:b/>
                      <w:bCs/>
                      <w:color w:val="000000"/>
                      <w:szCs w:val="21"/>
                    </w:rPr>
                    <w:t>）</w:t>
                  </w:r>
                </w:p>
              </w:tc>
              <w:tc>
                <w:tcPr>
                  <w:tcW w:w="1181"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夜间（</w:t>
                  </w:r>
                  <w:r>
                    <w:rPr>
                      <w:rFonts w:ascii="Times New Roman" w:hAnsi="Times New Roman" w:eastAsia="仿宋_GB2312"/>
                      <w:b/>
                      <w:color w:val="000000"/>
                      <w:szCs w:val="21"/>
                    </w:rPr>
                    <w:t>dB(A)</w:t>
                  </w:r>
                  <w:r>
                    <w:rPr>
                      <w:rFonts w:ascii="Times New Roman" w:hAnsi="Times New Roman" w:eastAsia="仿宋_GB2312"/>
                      <w:b/>
                      <w:bCs/>
                      <w:color w:val="000000"/>
                      <w:szCs w:val="21"/>
                    </w:rPr>
                    <w:t>）</w:t>
                  </w:r>
                </w:p>
              </w:tc>
              <w:tc>
                <w:tcPr>
                  <w:tcW w:w="2130"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0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施工</w:t>
                  </w:r>
                </w:p>
              </w:tc>
              <w:tc>
                <w:tcPr>
                  <w:tcW w:w="11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70</w:t>
                  </w:r>
                </w:p>
              </w:tc>
              <w:tc>
                <w:tcPr>
                  <w:tcW w:w="1181"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55</w:t>
                  </w:r>
                </w:p>
              </w:tc>
              <w:tc>
                <w:tcPr>
                  <w:tcW w:w="213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《建筑施工场界环境噪声排放标准》（GB 12523-2011）</w:t>
                  </w:r>
                </w:p>
              </w:tc>
            </w:tr>
          </w:tbl>
          <w:p>
            <w:pPr>
              <w:adjustRightInd w:val="0"/>
              <w:snapToGrid w:val="0"/>
              <w:spacing w:line="480" w:lineRule="exact"/>
              <w:ind w:firstLine="480" w:firstLineChars="200"/>
              <w:rPr>
                <w:rFonts w:ascii="Times New Roman" w:hAnsi="Times New Roman" w:eastAsia="仿宋_GB2312"/>
                <w:b/>
                <w:color w:val="000000"/>
                <w:sz w:val="24"/>
                <w:szCs w:val="24"/>
              </w:rPr>
            </w:pPr>
            <w:r>
              <w:rPr>
                <w:rFonts w:ascii="Times New Roman" w:hAnsi="Times New Roman" w:eastAsia="仿宋_GB2312"/>
                <w:color w:val="000000"/>
                <w:sz w:val="24"/>
                <w:szCs w:val="24"/>
              </w:rPr>
              <w:t>项目运营期厂界噪声执行《工业企业厂界环境噪声排放标准》（GB12348-2008）中的2类标准，</w:t>
            </w:r>
            <w:r>
              <w:rPr>
                <w:rFonts w:hint="eastAsia" w:ascii="Times New Roman" w:hAnsi="Times New Roman" w:eastAsia="仿宋_GB2312"/>
                <w:color w:val="000000"/>
                <w:sz w:val="24"/>
                <w:szCs w:val="24"/>
              </w:rPr>
              <w:t>其中北侧靠近凤凰西街厂界执行《工业企业厂界环境噪声排放标准》（GB12348-2008）4类标准，</w:t>
            </w:r>
            <w:r>
              <w:rPr>
                <w:rFonts w:ascii="Times New Roman" w:hAnsi="Times New Roman" w:eastAsia="仿宋_GB2312"/>
                <w:color w:val="000000"/>
                <w:sz w:val="24"/>
                <w:szCs w:val="24"/>
              </w:rPr>
              <w:t>具体见表4-7。</w:t>
            </w: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表4-7 工业企业厂界环境噪声排放标准值</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989"/>
              <w:gridCol w:w="38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66"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昼间（</w:t>
                  </w:r>
                  <w:r>
                    <w:rPr>
                      <w:rFonts w:ascii="Times New Roman" w:hAnsi="Times New Roman" w:eastAsia="仿宋_GB2312"/>
                      <w:b/>
                      <w:color w:val="000000"/>
                      <w:szCs w:val="21"/>
                    </w:rPr>
                    <w:t>dB(A)</w:t>
                  </w:r>
                  <w:r>
                    <w:rPr>
                      <w:rFonts w:ascii="Times New Roman" w:hAnsi="Times New Roman" w:eastAsia="仿宋_GB2312"/>
                      <w:b/>
                      <w:bCs/>
                      <w:color w:val="000000"/>
                      <w:szCs w:val="21"/>
                    </w:rPr>
                    <w:t>）</w:t>
                  </w:r>
                </w:p>
              </w:tc>
              <w:tc>
                <w:tcPr>
                  <w:tcW w:w="1266"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夜间（</w:t>
                  </w:r>
                  <w:r>
                    <w:rPr>
                      <w:rFonts w:ascii="Times New Roman" w:hAnsi="Times New Roman" w:eastAsia="仿宋_GB2312"/>
                      <w:b/>
                      <w:color w:val="000000"/>
                      <w:szCs w:val="21"/>
                    </w:rPr>
                    <w:t>dB(A)</w:t>
                  </w:r>
                  <w:r>
                    <w:rPr>
                      <w:rFonts w:ascii="Times New Roman" w:hAnsi="Times New Roman" w:eastAsia="仿宋_GB2312"/>
                      <w:b/>
                      <w:bCs/>
                      <w:color w:val="000000"/>
                      <w:szCs w:val="21"/>
                    </w:rPr>
                    <w:t>）</w:t>
                  </w:r>
                </w:p>
              </w:tc>
              <w:tc>
                <w:tcPr>
                  <w:tcW w:w="2469"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26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60</w:t>
                  </w:r>
                </w:p>
              </w:tc>
              <w:tc>
                <w:tcPr>
                  <w:tcW w:w="126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50</w:t>
                  </w:r>
                </w:p>
              </w:tc>
              <w:tc>
                <w:tcPr>
                  <w:tcW w:w="246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《工业企业厂界环境噪声排放标准》（GB12348-2008）2类标准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26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7</w:t>
                  </w:r>
                  <w:r>
                    <w:rPr>
                      <w:rFonts w:ascii="Times New Roman" w:hAnsi="Times New Roman" w:eastAsia="仿宋_GB2312"/>
                      <w:color w:val="000000"/>
                      <w:szCs w:val="21"/>
                    </w:rPr>
                    <w:t>0</w:t>
                  </w:r>
                </w:p>
              </w:tc>
              <w:tc>
                <w:tcPr>
                  <w:tcW w:w="126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5</w:t>
                  </w:r>
                  <w:r>
                    <w:rPr>
                      <w:rFonts w:ascii="Times New Roman" w:hAnsi="Times New Roman" w:eastAsia="仿宋_GB2312"/>
                      <w:color w:val="000000"/>
                      <w:szCs w:val="21"/>
                    </w:rPr>
                    <w:t>5</w:t>
                  </w:r>
                </w:p>
              </w:tc>
              <w:tc>
                <w:tcPr>
                  <w:tcW w:w="246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《工业企业厂界环境噪声排放标准》（GB12348-2008）4类标准</w:t>
                  </w:r>
                </w:p>
              </w:tc>
            </w:tr>
          </w:tbl>
          <w:p>
            <w:pPr>
              <w:spacing w:line="48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4、固体废物</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危险废物暂存场所执行《危险废物贮存污染控制标准》（GB 18597-2001）及修改公告（</w:t>
            </w:r>
            <w:r>
              <w:rPr>
                <w:rFonts w:hint="eastAsia" w:ascii="Times New Roman" w:hAnsi="Times New Roman" w:eastAsia="仿宋_GB2312"/>
                <w:color w:val="000000"/>
                <w:sz w:val="24"/>
                <w:szCs w:val="24"/>
              </w:rPr>
              <w:t>原</w:t>
            </w:r>
            <w:r>
              <w:rPr>
                <w:rFonts w:ascii="Times New Roman" w:hAnsi="Times New Roman" w:eastAsia="仿宋_GB2312"/>
                <w:color w:val="000000"/>
                <w:sz w:val="24"/>
                <w:szCs w:val="24"/>
              </w:rPr>
              <w:t>环境保护部公告2013年第36号）、《省生态环境厅关于进一步加强危险废物污染防治工作的实施意见》（苏环办〔2019〕327号）、《南京市实验室危险废物污染防治工作指导手册（试行）》（宁环办[2020]25号）</w:t>
            </w:r>
            <w:r>
              <w:rPr>
                <w:rFonts w:hint="eastAsia" w:ascii="Times New Roman" w:hAnsi="Times New Roman" w:eastAsia="仿宋_GB2312"/>
                <w:color w:val="000000"/>
                <w:sz w:val="24"/>
                <w:szCs w:val="24"/>
              </w:rPr>
              <w:t>等</w:t>
            </w:r>
            <w:r>
              <w:rPr>
                <w:rFonts w:ascii="Times New Roman" w:hAnsi="Times New Roman" w:eastAsia="仿宋_GB2312"/>
                <w:color w:val="000000"/>
                <w:sz w:val="24"/>
                <w:szCs w:val="24"/>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457" w:type="dxa"/>
            <w:vAlign w:val="center"/>
          </w:tcPr>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总</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量</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控</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制</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指</w:t>
            </w:r>
          </w:p>
          <w:p>
            <w:pPr>
              <w:spacing w:line="480" w:lineRule="exact"/>
              <w:rPr>
                <w:rFonts w:ascii="Times New Roman" w:hAnsi="Times New Roman" w:eastAsia="仿宋_GB2312"/>
                <w:b/>
                <w:bCs/>
                <w:color w:val="000000"/>
                <w:sz w:val="24"/>
                <w:szCs w:val="24"/>
              </w:rPr>
            </w:pPr>
          </w:p>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标</w:t>
            </w:r>
          </w:p>
        </w:tc>
        <w:tc>
          <w:tcPr>
            <w:tcW w:w="8072" w:type="dxa"/>
          </w:tcPr>
          <w:p>
            <w:pPr>
              <w:adjustRightInd w:val="0"/>
              <w:snapToGrid w:val="0"/>
              <w:spacing w:line="48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项目建成后污染物排放情况见表4-8。</w:t>
            </w:r>
          </w:p>
          <w:p>
            <w:pPr>
              <w:tabs>
                <w:tab w:val="left" w:pos="6192"/>
              </w:tabs>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表4-8项目建成后污染物排放量汇总</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437"/>
              <w:gridCol w:w="1431"/>
              <w:gridCol w:w="1342"/>
              <w:gridCol w:w="1368"/>
              <w:gridCol w:w="12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25" w:type="pct"/>
                  <w:shd w:val="clear" w:color="auto" w:fill="auto"/>
                  <w:vAlign w:val="center"/>
                </w:tcPr>
                <w:p>
                  <w:pPr>
                    <w:jc w:val="center"/>
                    <w:rPr>
                      <w:rFonts w:ascii="Times New Roman" w:hAnsi="Times New Roman" w:eastAsia="仿宋_GB2312"/>
                      <w:b/>
                      <w:bCs/>
                      <w:color w:val="000000"/>
                      <w:szCs w:val="21"/>
                    </w:rPr>
                  </w:pPr>
                  <w:bookmarkStart w:id="7" w:name="_Hlk38183906"/>
                  <w:r>
                    <w:rPr>
                      <w:rFonts w:ascii="Times New Roman" w:hAnsi="Times New Roman" w:eastAsia="仿宋_GB2312"/>
                      <w:b/>
                      <w:bCs/>
                      <w:color w:val="000000"/>
                      <w:szCs w:val="21"/>
                    </w:rPr>
                    <w:t>类别</w:t>
                  </w:r>
                </w:p>
              </w:tc>
              <w:tc>
                <w:tcPr>
                  <w:tcW w:w="915"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污染物</w:t>
                  </w:r>
                </w:p>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名称</w:t>
                  </w:r>
                </w:p>
              </w:tc>
              <w:tc>
                <w:tcPr>
                  <w:tcW w:w="911"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产生量（</w:t>
                  </w:r>
                  <w:r>
                    <w:rPr>
                      <w:rFonts w:hint="eastAsia" w:ascii="Times New Roman" w:hAnsi="Times New Roman" w:eastAsia="仿宋_GB2312"/>
                      <w:b/>
                      <w:bCs/>
                      <w:color w:val="000000"/>
                      <w:szCs w:val="21"/>
                    </w:rPr>
                    <w:t>t</w:t>
                  </w:r>
                  <w:r>
                    <w:rPr>
                      <w:rFonts w:ascii="Times New Roman" w:hAnsi="Times New Roman" w:eastAsia="仿宋_GB2312"/>
                      <w:b/>
                      <w:bCs/>
                      <w:color w:val="000000"/>
                      <w:szCs w:val="21"/>
                    </w:rPr>
                    <w:t>/a）</w:t>
                  </w:r>
                </w:p>
              </w:tc>
              <w:tc>
                <w:tcPr>
                  <w:tcW w:w="854"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削减量（</w:t>
                  </w:r>
                  <w:r>
                    <w:rPr>
                      <w:rFonts w:hint="eastAsia" w:ascii="Times New Roman" w:hAnsi="Times New Roman" w:eastAsia="仿宋_GB2312"/>
                      <w:b/>
                      <w:bCs/>
                      <w:color w:val="000000"/>
                      <w:szCs w:val="21"/>
                    </w:rPr>
                    <w:t>t</w:t>
                  </w:r>
                  <w:r>
                    <w:rPr>
                      <w:rFonts w:ascii="Times New Roman" w:hAnsi="Times New Roman" w:eastAsia="仿宋_GB2312"/>
                      <w:b/>
                      <w:bCs/>
                      <w:color w:val="000000"/>
                      <w:szCs w:val="21"/>
                    </w:rPr>
                    <w:t>/a）</w:t>
                  </w:r>
                </w:p>
              </w:tc>
              <w:tc>
                <w:tcPr>
                  <w:tcW w:w="871"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排放量</w:t>
                  </w:r>
                </w:p>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w:t>
                  </w:r>
                  <w:r>
                    <w:rPr>
                      <w:rFonts w:hint="eastAsia" w:ascii="Times New Roman" w:hAnsi="Times New Roman" w:eastAsia="仿宋_GB2312"/>
                      <w:b/>
                      <w:bCs/>
                      <w:color w:val="000000"/>
                      <w:szCs w:val="21"/>
                    </w:rPr>
                    <w:t>t</w:t>
                  </w:r>
                  <w:r>
                    <w:rPr>
                      <w:rFonts w:ascii="Times New Roman" w:hAnsi="Times New Roman" w:eastAsia="仿宋_GB2312"/>
                      <w:b/>
                      <w:bCs/>
                      <w:color w:val="000000"/>
                      <w:szCs w:val="21"/>
                    </w:rPr>
                    <w:t>/a）</w:t>
                  </w:r>
                </w:p>
              </w:tc>
              <w:tc>
                <w:tcPr>
                  <w:tcW w:w="824"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最终排入外环境量（</w:t>
                  </w:r>
                  <w:r>
                    <w:rPr>
                      <w:rFonts w:hint="eastAsia" w:ascii="Times New Roman" w:hAnsi="Times New Roman" w:eastAsia="仿宋_GB2312"/>
                      <w:b/>
                      <w:bCs/>
                      <w:color w:val="000000"/>
                      <w:szCs w:val="21"/>
                    </w:rPr>
                    <w:t>t</w:t>
                  </w:r>
                  <w:r>
                    <w:rPr>
                      <w:rFonts w:ascii="Times New Roman" w:hAnsi="Times New Roman" w:eastAsia="仿宋_GB2312"/>
                      <w:b/>
                      <w:bCs/>
                      <w:color w:val="000000"/>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废气（有组织）</w:t>
                  </w:r>
                </w:p>
              </w:tc>
              <w:tc>
                <w:tcPr>
                  <w:tcW w:w="915" w:type="pct"/>
                  <w:shd w:val="clear" w:color="auto" w:fill="auto"/>
                  <w:vAlign w:val="center"/>
                </w:tcPr>
                <w:p>
                  <w:pPr>
                    <w:pStyle w:val="253"/>
                    <w:rPr>
                      <w:rFonts w:eastAsia="仿宋_GB2312"/>
                      <w:color w:val="000000"/>
                    </w:rPr>
                  </w:pPr>
                  <w:r>
                    <w:rPr>
                      <w:rFonts w:eastAsia="仿宋_GB2312"/>
                      <w:color w:val="000000"/>
                    </w:rPr>
                    <w:t>VOCs</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0.064</w:t>
                  </w:r>
                </w:p>
              </w:tc>
              <w:tc>
                <w:tcPr>
                  <w:tcW w:w="854"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0.0384</w:t>
                  </w:r>
                </w:p>
              </w:tc>
              <w:tc>
                <w:tcPr>
                  <w:tcW w:w="871"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0.0256</w:t>
                  </w:r>
                </w:p>
              </w:tc>
              <w:tc>
                <w:tcPr>
                  <w:tcW w:w="869"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0.0256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氯化氢</w:t>
                  </w:r>
                </w:p>
              </w:tc>
              <w:tc>
                <w:tcPr>
                  <w:tcW w:w="866"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0.00074</w:t>
                  </w:r>
                </w:p>
              </w:tc>
              <w:tc>
                <w:tcPr>
                  <w:tcW w:w="854" w:type="pct"/>
                  <w:tcBorders>
                    <w:top w:val="single" w:color="auto" w:sz="4" w:space="0"/>
                    <w:left w:val="nil"/>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71"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0.00074</w:t>
                  </w:r>
                </w:p>
              </w:tc>
              <w:tc>
                <w:tcPr>
                  <w:tcW w:w="869"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0.00074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866"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0.000276</w:t>
                  </w:r>
                </w:p>
              </w:tc>
              <w:tc>
                <w:tcPr>
                  <w:tcW w:w="854" w:type="pct"/>
                  <w:tcBorders>
                    <w:top w:val="single" w:color="auto" w:sz="4" w:space="0"/>
                    <w:left w:val="nil"/>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71"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0.000276</w:t>
                  </w:r>
                </w:p>
              </w:tc>
              <w:tc>
                <w:tcPr>
                  <w:tcW w:w="869"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0.000276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866"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.000931</w:t>
                  </w:r>
                </w:p>
              </w:tc>
              <w:tc>
                <w:tcPr>
                  <w:tcW w:w="854" w:type="pct"/>
                  <w:tcBorders>
                    <w:top w:val="single" w:color="auto" w:sz="4" w:space="0"/>
                    <w:left w:val="nil"/>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71"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.000931</w:t>
                  </w:r>
                </w:p>
              </w:tc>
              <w:tc>
                <w:tcPr>
                  <w:tcW w:w="869" w:type="pct"/>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866"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.000192</w:t>
                  </w:r>
                </w:p>
              </w:tc>
              <w:tc>
                <w:tcPr>
                  <w:tcW w:w="854" w:type="pct"/>
                  <w:tcBorders>
                    <w:top w:val="single" w:color="auto" w:sz="4" w:space="0"/>
                    <w:left w:val="nil"/>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71"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.000192</w:t>
                  </w:r>
                </w:p>
              </w:tc>
              <w:tc>
                <w:tcPr>
                  <w:tcW w:w="869" w:type="pct"/>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废气（无组织）</w:t>
                  </w:r>
                </w:p>
              </w:tc>
              <w:tc>
                <w:tcPr>
                  <w:tcW w:w="915" w:type="pct"/>
                  <w:shd w:val="clear" w:color="auto" w:fill="auto"/>
                  <w:vAlign w:val="center"/>
                </w:tcPr>
                <w:p>
                  <w:pPr>
                    <w:pStyle w:val="92"/>
                    <w:rPr>
                      <w:rFonts w:eastAsia="仿宋_GB2312"/>
                    </w:rPr>
                  </w:pPr>
                  <w:r>
                    <w:rPr>
                      <w:rFonts w:eastAsia="仿宋_GB2312"/>
                    </w:rPr>
                    <w:t>VOC</w:t>
                  </w:r>
                  <w:r>
                    <w:rPr>
                      <w:rFonts w:eastAsia="仿宋_GB2312"/>
                      <w:vertAlign w:val="subscript"/>
                    </w:rPr>
                    <w:t>S</w:t>
                  </w:r>
                </w:p>
              </w:tc>
              <w:tc>
                <w:tcPr>
                  <w:tcW w:w="866" w:type="pct"/>
                  <w:shd w:val="clear" w:color="auto" w:fill="auto"/>
                  <w:vAlign w:val="center"/>
                </w:tcPr>
                <w:p>
                  <w:pPr>
                    <w:pStyle w:val="92"/>
                    <w:rPr>
                      <w:rFonts w:eastAsia="仿宋_GB2312"/>
                    </w:rPr>
                  </w:pPr>
                  <w:r>
                    <w:rPr>
                      <w:rFonts w:eastAsia="仿宋_GB2312"/>
                    </w:rPr>
                    <w:t>0.0175</w:t>
                  </w:r>
                </w:p>
              </w:tc>
              <w:tc>
                <w:tcPr>
                  <w:tcW w:w="854" w:type="pct"/>
                  <w:tcBorders>
                    <w:top w:val="single" w:color="auto" w:sz="4" w:space="0"/>
                  </w:tcBorders>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71" w:type="pct"/>
                  <w:shd w:val="clear" w:color="auto" w:fill="auto"/>
                  <w:vAlign w:val="center"/>
                </w:tcPr>
                <w:p>
                  <w:pPr>
                    <w:pStyle w:val="92"/>
                    <w:rPr>
                      <w:rFonts w:eastAsia="仿宋_GB2312"/>
                    </w:rPr>
                  </w:pPr>
                  <w:r>
                    <w:rPr>
                      <w:rFonts w:eastAsia="仿宋_GB2312"/>
                    </w:rPr>
                    <w:t>0.0175</w:t>
                  </w:r>
                </w:p>
              </w:tc>
              <w:tc>
                <w:tcPr>
                  <w:tcW w:w="869" w:type="pct"/>
                  <w:vAlign w:val="center"/>
                </w:tcPr>
                <w:p>
                  <w:pPr>
                    <w:pStyle w:val="92"/>
                    <w:rPr>
                      <w:rFonts w:eastAsia="仿宋_GB2312"/>
                    </w:rPr>
                  </w:pPr>
                  <w:r>
                    <w:rPr>
                      <w:rFonts w:eastAsia="仿宋_GB2312"/>
                    </w:rPr>
                    <w:t>0.0175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氯化氢</w:t>
                  </w:r>
                </w:p>
              </w:tc>
              <w:tc>
                <w:tcPr>
                  <w:tcW w:w="86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.000185</w:t>
                  </w:r>
                </w:p>
              </w:tc>
              <w:tc>
                <w:tcPr>
                  <w:tcW w:w="854"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.000185</w:t>
                  </w:r>
                </w:p>
              </w:tc>
              <w:tc>
                <w:tcPr>
                  <w:tcW w:w="86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86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.000069</w:t>
                  </w:r>
                </w:p>
              </w:tc>
              <w:tc>
                <w:tcPr>
                  <w:tcW w:w="854"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.000069</w:t>
                  </w:r>
                </w:p>
              </w:tc>
              <w:tc>
                <w:tcPr>
                  <w:tcW w:w="86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86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.000233</w:t>
                  </w:r>
                </w:p>
              </w:tc>
              <w:tc>
                <w:tcPr>
                  <w:tcW w:w="854"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.000233</w:t>
                  </w:r>
                </w:p>
              </w:tc>
              <w:tc>
                <w:tcPr>
                  <w:tcW w:w="86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86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.000048</w:t>
                  </w:r>
                </w:p>
              </w:tc>
              <w:tc>
                <w:tcPr>
                  <w:tcW w:w="854" w:type="pct"/>
                  <w:shd w:val="clear" w:color="auto" w:fill="auto"/>
                  <w:vAlign w:val="center"/>
                </w:tcPr>
                <w:p>
                  <w:pPr>
                    <w:adjustRightInd w:val="0"/>
                    <w:snapToGrid w:val="0"/>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.000048</w:t>
                  </w:r>
                </w:p>
              </w:tc>
              <w:tc>
                <w:tcPr>
                  <w:tcW w:w="86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25"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废水</w:t>
                  </w: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废水量</w:t>
                  </w:r>
                </w:p>
              </w:tc>
              <w:tc>
                <w:tcPr>
                  <w:tcW w:w="866"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282.812</w:t>
                  </w:r>
                </w:p>
              </w:tc>
              <w:tc>
                <w:tcPr>
                  <w:tcW w:w="85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282.812</w:t>
                  </w:r>
                </w:p>
              </w:tc>
              <w:tc>
                <w:tcPr>
                  <w:tcW w:w="86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282.812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COD</w:t>
                  </w:r>
                </w:p>
              </w:tc>
              <w:tc>
                <w:tcPr>
                  <w:tcW w:w="911"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0.</w:t>
                  </w: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08769</w:t>
                  </w:r>
                </w:p>
              </w:tc>
              <w:tc>
                <w:tcPr>
                  <w:tcW w:w="854"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.023929</w:t>
                  </w:r>
                </w:p>
              </w:tc>
              <w:tc>
                <w:tcPr>
                  <w:tcW w:w="871"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.08484</w:t>
                  </w:r>
                </w:p>
              </w:tc>
              <w:tc>
                <w:tcPr>
                  <w:tcW w:w="824" w:type="pct"/>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SS</w:t>
                  </w:r>
                </w:p>
              </w:tc>
              <w:tc>
                <w:tcPr>
                  <w:tcW w:w="911"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w:t>
                  </w:r>
                  <w:r>
                    <w:rPr>
                      <w:rFonts w:hint="eastAsia" w:ascii="Times New Roman" w:hAnsi="Times New Roman" w:eastAsia="仿宋_GB2312"/>
                      <w:color w:val="000000"/>
                      <w:kern w:val="0"/>
                      <w:szCs w:val="21"/>
                    </w:rPr>
                    <w:t>8</w:t>
                  </w:r>
                  <w:r>
                    <w:rPr>
                      <w:rFonts w:ascii="Times New Roman" w:hAnsi="Times New Roman" w:eastAsia="仿宋_GB2312"/>
                      <w:color w:val="000000"/>
                      <w:kern w:val="0"/>
                      <w:szCs w:val="21"/>
                    </w:rPr>
                    <w:t>1317</w:t>
                  </w:r>
                </w:p>
              </w:tc>
              <w:tc>
                <w:tcPr>
                  <w:tcW w:w="854"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.064347</w:t>
                  </w:r>
                </w:p>
              </w:tc>
              <w:tc>
                <w:tcPr>
                  <w:tcW w:w="871"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.01697</w:t>
                  </w:r>
                </w:p>
              </w:tc>
              <w:tc>
                <w:tcPr>
                  <w:tcW w:w="824" w:type="pct"/>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NH</w:t>
                  </w:r>
                  <w:r>
                    <w:rPr>
                      <w:rFonts w:ascii="Times New Roman" w:hAnsi="Times New Roman" w:eastAsia="仿宋_GB2312"/>
                      <w:color w:val="000000"/>
                      <w:szCs w:val="21"/>
                      <w:vertAlign w:val="subscript"/>
                    </w:rPr>
                    <w:t>3</w:t>
                  </w:r>
                  <w:r>
                    <w:rPr>
                      <w:rFonts w:ascii="Times New Roman" w:hAnsi="Times New Roman" w:eastAsia="仿宋_GB2312"/>
                      <w:color w:val="000000"/>
                      <w:szCs w:val="21"/>
                    </w:rPr>
                    <w:t>-N</w:t>
                  </w:r>
                </w:p>
              </w:tc>
              <w:tc>
                <w:tcPr>
                  <w:tcW w:w="911"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0.006858</w:t>
                  </w:r>
                </w:p>
              </w:tc>
              <w:tc>
                <w:tcPr>
                  <w:tcW w:w="854"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.001198</w:t>
                  </w:r>
                </w:p>
              </w:tc>
              <w:tc>
                <w:tcPr>
                  <w:tcW w:w="871"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.00566</w:t>
                  </w:r>
                </w:p>
              </w:tc>
              <w:tc>
                <w:tcPr>
                  <w:tcW w:w="824" w:type="pct"/>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总磷</w:t>
                  </w:r>
                </w:p>
              </w:tc>
              <w:tc>
                <w:tcPr>
                  <w:tcW w:w="911"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0.001092</w:t>
                  </w:r>
                </w:p>
              </w:tc>
              <w:tc>
                <w:tcPr>
                  <w:tcW w:w="854"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.000242</w:t>
                  </w:r>
                </w:p>
              </w:tc>
              <w:tc>
                <w:tcPr>
                  <w:tcW w:w="871"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.00085</w:t>
                  </w:r>
                </w:p>
              </w:tc>
              <w:tc>
                <w:tcPr>
                  <w:tcW w:w="824" w:type="pct"/>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911"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.000002</w:t>
                  </w:r>
                </w:p>
              </w:tc>
              <w:tc>
                <w:tcPr>
                  <w:tcW w:w="854"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p>
              </w:tc>
              <w:tc>
                <w:tcPr>
                  <w:tcW w:w="871"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.000002</w:t>
                  </w:r>
                </w:p>
              </w:tc>
              <w:tc>
                <w:tcPr>
                  <w:tcW w:w="824" w:type="pct"/>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L</w:t>
                  </w:r>
                  <w:r>
                    <w:rPr>
                      <w:rFonts w:ascii="Times New Roman" w:hAnsi="Times New Roman" w:eastAsia="仿宋_GB2312"/>
                      <w:color w:val="000000"/>
                      <w:szCs w:val="21"/>
                    </w:rPr>
                    <w:t>AS</w:t>
                  </w:r>
                </w:p>
              </w:tc>
              <w:tc>
                <w:tcPr>
                  <w:tcW w:w="911"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.00006</w:t>
                  </w:r>
                </w:p>
              </w:tc>
              <w:tc>
                <w:tcPr>
                  <w:tcW w:w="854" w:type="pct"/>
                  <w:shd w:val="clear" w:color="auto" w:fill="auto"/>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p>
              </w:tc>
              <w:tc>
                <w:tcPr>
                  <w:tcW w:w="871"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.00006</w:t>
                  </w:r>
                </w:p>
              </w:tc>
              <w:tc>
                <w:tcPr>
                  <w:tcW w:w="824" w:type="pct"/>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25"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一般固废</w:t>
                  </w: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生活垃圾</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3.375</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3.375</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废渗滤膜</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藻类、斑马鱼尸体</w:t>
                  </w:r>
                </w:p>
              </w:tc>
              <w:tc>
                <w:tcPr>
                  <w:tcW w:w="91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.01</w:t>
                  </w:r>
                </w:p>
              </w:tc>
              <w:tc>
                <w:tcPr>
                  <w:tcW w:w="854"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.01</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25"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危险废物</w:t>
                  </w: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玻璃器皿</w:t>
                  </w:r>
                  <w:r>
                    <w:rPr>
                      <w:rFonts w:ascii="Times New Roman" w:hAnsi="Times New Roman" w:eastAsia="仿宋_GB2312"/>
                      <w:color w:val="000000"/>
                      <w:szCs w:val="21"/>
                    </w:rPr>
                    <w:t>等耗材</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废试剂瓶</w:t>
                  </w:r>
                </w:p>
              </w:tc>
              <w:tc>
                <w:tcPr>
                  <w:tcW w:w="91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.8</w:t>
                  </w:r>
                </w:p>
              </w:tc>
              <w:tc>
                <w:tcPr>
                  <w:tcW w:w="854"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.8</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废药剂包装</w:t>
                  </w:r>
                </w:p>
              </w:tc>
              <w:tc>
                <w:tcPr>
                  <w:tcW w:w="91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.2</w:t>
                  </w:r>
                </w:p>
              </w:tc>
              <w:tc>
                <w:tcPr>
                  <w:tcW w:w="854"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.2</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废固体样品</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4.0</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4.0</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液体</w:t>
                  </w:r>
                  <w:r>
                    <w:rPr>
                      <w:rFonts w:ascii="Times New Roman" w:hAnsi="Times New Roman" w:eastAsia="仿宋_GB2312"/>
                      <w:color w:val="000000"/>
                      <w:szCs w:val="21"/>
                    </w:rPr>
                    <w:t>样品</w:t>
                  </w:r>
                </w:p>
              </w:tc>
              <w:tc>
                <w:tcPr>
                  <w:tcW w:w="91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2</w:t>
                  </w:r>
                  <w:r>
                    <w:rPr>
                      <w:rFonts w:ascii="Times New Roman" w:hAnsi="Times New Roman" w:eastAsia="仿宋_GB2312"/>
                      <w:color w:val="000000"/>
                      <w:szCs w:val="21"/>
                    </w:rPr>
                    <w:t>.0</w:t>
                  </w:r>
                </w:p>
              </w:tc>
              <w:tc>
                <w:tcPr>
                  <w:tcW w:w="854"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2</w:t>
                  </w:r>
                  <w:r>
                    <w:rPr>
                      <w:rFonts w:ascii="Times New Roman" w:hAnsi="Times New Roman" w:eastAsia="仿宋_GB2312"/>
                      <w:color w:val="000000"/>
                      <w:szCs w:val="21"/>
                    </w:rPr>
                    <w:t>.0</w:t>
                  </w:r>
                </w:p>
              </w:tc>
              <w:tc>
                <w:tcPr>
                  <w:tcW w:w="87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科研、检测废液及前两道清洗废液</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3.2</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3.2</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过期化学品</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25" w:type="pct"/>
                  <w:vMerge w:val="continue"/>
                  <w:shd w:val="clear" w:color="auto" w:fill="auto"/>
                  <w:vAlign w:val="center"/>
                </w:tcPr>
                <w:p>
                  <w:pPr>
                    <w:jc w:val="center"/>
                    <w:rPr>
                      <w:rFonts w:ascii="Times New Roman" w:hAnsi="Times New Roman" w:eastAsia="仿宋_GB2312"/>
                      <w:color w:val="000000"/>
                      <w:szCs w:val="21"/>
                    </w:rPr>
                  </w:pPr>
                </w:p>
              </w:tc>
              <w:tc>
                <w:tcPr>
                  <w:tcW w:w="9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废活性炭</w:t>
                  </w:r>
                </w:p>
              </w:tc>
              <w:tc>
                <w:tcPr>
                  <w:tcW w:w="91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1.8</w:t>
                  </w:r>
                </w:p>
              </w:tc>
              <w:tc>
                <w:tcPr>
                  <w:tcW w:w="8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1.8</w:t>
                  </w:r>
                </w:p>
              </w:tc>
              <w:tc>
                <w:tcPr>
                  <w:tcW w:w="87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c>
                <w:tcPr>
                  <w:tcW w:w="82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w:t>
                  </w:r>
                </w:p>
              </w:tc>
            </w:tr>
            <w:bookmarkEnd w:id="7"/>
          </w:tbl>
          <w:p>
            <w:pPr>
              <w:pStyle w:val="16"/>
              <w:adjustRightInd w:val="0"/>
              <w:snapToGrid w:val="0"/>
              <w:spacing w:line="500" w:lineRule="exact"/>
              <w:ind w:firstLineChars="200"/>
              <w:rPr>
                <w:rFonts w:ascii="Times New Roman" w:hAnsi="Times New Roman"/>
                <w:snapToGrid w:val="0"/>
                <w:color w:val="000000"/>
                <w:kern w:val="0"/>
                <w:sz w:val="24"/>
                <w:szCs w:val="24"/>
              </w:rPr>
            </w:pPr>
            <w:r>
              <w:rPr>
                <w:rFonts w:ascii="Times New Roman" w:hAnsi="Times New Roman"/>
                <w:snapToGrid w:val="0"/>
                <w:color w:val="000000"/>
                <w:kern w:val="0"/>
                <w:sz w:val="24"/>
                <w:szCs w:val="24"/>
              </w:rPr>
              <w:t>项目有组织大气污染物排放总量为：VOCs 0.0256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，氯化氢0.00074</w:t>
            </w:r>
            <w:r>
              <w:rPr>
                <w:rFonts w:hint="eastAsia" w:ascii="Times New Roman" w:hAnsi="Times New Roman"/>
                <w:snapToGrid w:val="0"/>
                <w:color w:val="000000"/>
                <w:kern w:val="0"/>
                <w:sz w:val="24"/>
                <w:szCs w:val="24"/>
              </w:rPr>
              <w:t xml:space="preserve"> 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，氮氧化物0.000276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，硫酸雾</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.000931</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，氟化物</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.000192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；无组织大气污染物排放总量为：VOCs 0.01225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，氯化氢</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.000185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，氮氧化物</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.000069</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，硫酸雾</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.000233</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，氟化物</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.000048</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，在鼓楼区内平衡，并报生态环境部门核批后执行。</w:t>
            </w:r>
          </w:p>
          <w:p>
            <w:pPr>
              <w:pStyle w:val="16"/>
              <w:adjustRightInd w:val="0"/>
              <w:snapToGrid w:val="0"/>
              <w:spacing w:line="500" w:lineRule="exact"/>
              <w:ind w:firstLineChars="200"/>
              <w:rPr>
                <w:rFonts w:ascii="Times New Roman" w:hAnsi="Times New Roman"/>
                <w:snapToGrid w:val="0"/>
                <w:color w:val="000000"/>
                <w:kern w:val="0"/>
                <w:sz w:val="24"/>
                <w:szCs w:val="24"/>
              </w:rPr>
            </w:pPr>
            <w:r>
              <w:rPr>
                <w:rFonts w:ascii="Times New Roman" w:hAnsi="Times New Roman"/>
                <w:snapToGrid w:val="0"/>
                <w:color w:val="000000"/>
                <w:kern w:val="0"/>
                <w:sz w:val="24"/>
                <w:szCs w:val="24"/>
              </w:rPr>
              <w:t>项目实验废水经废水与生活污水通过化粪池处理达标后，接管至江心洲污水处理厂集中处理，接管考核量为：废水量282.812t/a、COD 0.08484</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、SS 0.01697</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、氨氮</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.00566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、总磷</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.00085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、氟化物</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.000002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a、L</w:t>
            </w:r>
            <w:r>
              <w:rPr>
                <w:rFonts w:ascii="Times New Roman" w:hAnsi="Times New Roman"/>
                <w:snapToGrid w:val="0"/>
                <w:color w:val="000000"/>
                <w:kern w:val="0"/>
                <w:sz w:val="24"/>
                <w:szCs w:val="24"/>
              </w:rPr>
              <w:t>AS 0.00006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/a；全厂最终外排量：废水量282.812t/a、COD 0.01414</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、SS 0.0028</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、氨氮</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.00566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、总磷</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.00085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、氟化物</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.000002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a、L</w:t>
            </w:r>
            <w:r>
              <w:rPr>
                <w:rFonts w:ascii="Times New Roman" w:hAnsi="Times New Roman"/>
                <w:snapToGrid w:val="0"/>
                <w:color w:val="000000"/>
                <w:kern w:val="0"/>
                <w:sz w:val="24"/>
                <w:szCs w:val="24"/>
              </w:rPr>
              <w:t>AS 0.00006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/a，纳入江心洲污水处理厂总量范围内。</w:t>
            </w:r>
          </w:p>
          <w:p>
            <w:pPr>
              <w:pStyle w:val="16"/>
              <w:adjustRightInd w:val="0"/>
              <w:snapToGrid w:val="0"/>
              <w:spacing w:line="500" w:lineRule="exact"/>
              <w:ind w:firstLineChars="200"/>
              <w:rPr>
                <w:rFonts w:ascii="Times New Roman" w:hAnsi="Times New Roman"/>
                <w:snapToGrid w:val="0"/>
                <w:color w:val="000000"/>
                <w:kern w:val="0"/>
                <w:sz w:val="24"/>
                <w:szCs w:val="24"/>
              </w:rPr>
            </w:pPr>
            <w:r>
              <w:rPr>
                <w:rFonts w:ascii="Times New Roman" w:hAnsi="Times New Roman"/>
                <w:snapToGrid w:val="0"/>
                <w:color w:val="000000"/>
                <w:kern w:val="0"/>
                <w:sz w:val="24"/>
                <w:szCs w:val="24"/>
              </w:rPr>
              <w:t>项目产生的固体废物均得到有效处置，排放总量为零。</w:t>
            </w:r>
          </w:p>
        </w:tc>
      </w:tr>
    </w:tbl>
    <w:p>
      <w:pPr>
        <w:pStyle w:val="3"/>
        <w:spacing w:line="480" w:lineRule="exact"/>
        <w:rPr>
          <w:rFonts w:ascii="Times New Roman" w:hAnsi="Times New Roman" w:eastAsia="仿宋_GB2312"/>
          <w:color w:val="000000"/>
          <w:sz w:val="24"/>
          <w:szCs w:val="24"/>
        </w:rPr>
        <w:sectPr>
          <w:pgSz w:w="11906" w:h="16838"/>
          <w:pgMar w:top="1440" w:right="1797" w:bottom="1440" w:left="1797" w:header="851" w:footer="992" w:gutter="0"/>
          <w:cols w:space="720" w:num="1"/>
          <w:docGrid w:linePitch="312" w:charSpace="0"/>
        </w:sectPr>
      </w:pP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五、建设项目工程分析</w:t>
      </w:r>
    </w:p>
    <w:tbl>
      <w:tblPr>
        <w:tblStyle w:val="38"/>
        <w:tblW w:w="8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3" w:hRule="atLeast"/>
        </w:trPr>
        <w:tc>
          <w:tcPr>
            <w:tcW w:w="8668" w:type="dxa"/>
          </w:tcPr>
          <w:p>
            <w:pPr>
              <w:pStyle w:val="83"/>
              <w:spacing w:line="480" w:lineRule="exact"/>
              <w:rPr>
                <w:rFonts w:ascii="Times New Roman" w:hAnsi="Times New Roman" w:eastAsia="仿宋_GB2312"/>
              </w:rPr>
            </w:pPr>
            <w:r>
              <w:rPr>
                <w:rFonts w:ascii="Times New Roman" w:hAnsi="Times New Roman" w:eastAsia="仿宋_GB2312"/>
              </w:rPr>
              <mc:AlternateContent>
                <mc:Choice Requires="wps">
                  <w:drawing>
                    <wp:anchor distT="0" distB="0" distL="114300" distR="114300" simplePos="0" relativeHeight="251655168" behindDoc="0" locked="0" layoutInCell="1" allowOverlap="1">
                      <wp:simplePos x="0" y="0"/>
                      <wp:positionH relativeFrom="column">
                        <wp:posOffset>2230120</wp:posOffset>
                      </wp:positionH>
                      <wp:positionV relativeFrom="paragraph">
                        <wp:posOffset>-13707110</wp:posOffset>
                      </wp:positionV>
                      <wp:extent cx="635" cy="228600"/>
                      <wp:effectExtent l="38100" t="0" r="56515" b="38100"/>
                      <wp:wrapNone/>
                      <wp:docPr id="48" name="Line 28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sm" len="med"/>
                              </a:ln>
                            </wps:spPr>
                            <wps:bodyPr/>
                          </wps:wsp>
                        </a:graphicData>
                      </a:graphic>
                    </wp:anchor>
                  </w:drawing>
                </mc:Choice>
                <mc:Fallback>
                  <w:pict>
                    <v:line id="Line 284" o:spid="_x0000_s1026" o:spt="20" style="position:absolute;left:0pt;margin-left:175.6pt;margin-top:-1079.3pt;height:18pt;width:0.05pt;z-index:251655168;mso-width-relative:page;mso-height-relative:page;" filled="f" stroked="t" coordsize="21600,21600" o:gfxdata="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Walx3QAA&#10;AA8BAAAPAAAAAAAAAAEAIAAAACIAAABkcnMvZG93bnJldi54bWxQSwECFAAUAAAACACHTuJAjP0e&#10;deABAADUAwAADgAAAAAAAAABACAAAAAsAQAAZHJzL2Uyb0RvYy54bWxQSwUGAAAAAAYABgBZAQAA&#10;fgUAAAAA&#10;">
                      <v:fill on="f" focussize="0,0"/>
                      <v:stroke color="#000000" joinstyle="round" endarrow="block" endarrowwidth="narrow"/>
                      <v:imagedata o:title=""/>
                      <o:lock v:ext="edit" aspectratio="f"/>
                    </v:line>
                  </w:pict>
                </mc:Fallback>
              </mc:AlternateContent>
            </w:r>
            <w:r>
              <w:rPr>
                <w:rFonts w:ascii="Times New Roman" w:hAnsi="Times New Roman" w:eastAsia="仿宋_GB2312"/>
              </w:rPr>
              <w:t>1、施工期工程分析</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建设项目在南京市鼓楼区凤凰西街241号现有大楼内进行建设。施工期间仅进行装修工程、设备安装和调试。施工期工艺流程及产污环节见图5-1。</w:t>
            </w:r>
          </w:p>
          <w:p>
            <w:pPr>
              <w:pStyle w:val="253"/>
              <w:rPr>
                <w:rFonts w:eastAsia="仿宋_GB2312"/>
                <w:color w:val="000000"/>
              </w:rPr>
            </w:pPr>
          </w:p>
          <w:p>
            <w:pPr>
              <w:widowControl/>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drawing>
                <wp:inline distT="0" distB="0" distL="0" distR="0">
                  <wp:extent cx="4542790" cy="1053465"/>
                  <wp:effectExtent l="0" t="0" r="0" b="0"/>
                  <wp:docPr id="3" name="图片 3" descr="JI8B80$J`0${2NOA(GY53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I8B80$J`0${2NOA(GY53B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42790" cy="1053465"/>
                          </a:xfrm>
                          <a:prstGeom prst="rect">
                            <a:avLst/>
                          </a:prstGeom>
                          <a:noFill/>
                          <a:ln>
                            <a:noFill/>
                          </a:ln>
                        </pic:spPr>
                      </pic:pic>
                    </a:graphicData>
                  </a:graphic>
                </wp:inline>
              </w:drawing>
            </w:r>
          </w:p>
          <w:p>
            <w:pPr>
              <w:adjustRightInd w:val="0"/>
              <w:snapToGrid w:val="0"/>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图5-1 项目施工期工艺流程及产污环节图</w:t>
            </w:r>
          </w:p>
          <w:p>
            <w:pPr>
              <w:adjustRightInd w:val="0"/>
              <w:snapToGrid w:val="0"/>
              <w:spacing w:line="50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（1）废气</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szCs w:val="24"/>
              </w:rPr>
              <w:t>①</w:t>
            </w:r>
            <w:r>
              <w:rPr>
                <w:rFonts w:ascii="Times New Roman" w:hAnsi="Times New Roman" w:eastAsia="仿宋_GB2312"/>
                <w:color w:val="000000"/>
                <w:sz w:val="24"/>
                <w:szCs w:val="24"/>
              </w:rPr>
              <w:t>施工车辆机械尾气</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一般来说，施工车辆因其使用较频繁，排放的尾气污染物主要有CO、CH、NO</w:t>
            </w:r>
            <w:r>
              <w:rPr>
                <w:rFonts w:ascii="Times New Roman" w:hAnsi="Times New Roman" w:eastAsia="仿宋_GB2312"/>
                <w:color w:val="000000"/>
                <w:sz w:val="24"/>
                <w:szCs w:val="24"/>
                <w:vertAlign w:val="subscript"/>
              </w:rPr>
              <w:t>X</w:t>
            </w:r>
            <w:r>
              <w:rPr>
                <w:rFonts w:ascii="Times New Roman" w:hAnsi="Times New Roman" w:eastAsia="仿宋_GB2312"/>
                <w:color w:val="000000"/>
                <w:sz w:val="24"/>
                <w:szCs w:val="24"/>
              </w:rPr>
              <w:t>等。工程施工用车以3辆计，以每车1天耗油50L计算，根据《环境保护实用数据》机动车辆大气污染物排放系数计算，以柴油为燃料的一氧化碳产生量为16.2g/L，碳氢化合物的产生量为2.664g/L，氮氧化合物的产生量为26.64g/L。则施工机械设备每天排放的尾气中含CO 4.05kg、THC 0.666kg、NOx 6.66kg。</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szCs w:val="24"/>
              </w:rPr>
              <w:t>②</w:t>
            </w:r>
            <w:r>
              <w:rPr>
                <w:rFonts w:ascii="Times New Roman" w:hAnsi="Times New Roman" w:eastAsia="仿宋_GB2312"/>
                <w:color w:val="000000"/>
                <w:sz w:val="24"/>
                <w:szCs w:val="24"/>
              </w:rPr>
              <w:t>油漆废气</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油漆废气主要来自于房屋装修阶段，该废气的排放属无组织排放，其主要污染因子为甲苯和二甲苯，此外还有极少量的汽油、丁醇和丙醇等。由于对周围环境的影响较难预测，本次评价只对该废气作一般性估算。</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根据调查，每150m</w:t>
            </w:r>
            <w:r>
              <w:rPr>
                <w:rFonts w:hint="eastAsia" w:ascii="Times New Roman" w:hAnsi="Times New Roman" w:eastAsia="仿宋_GB2312"/>
                <w:color w:val="000000"/>
                <w:sz w:val="24"/>
                <w:szCs w:val="24"/>
                <w:vertAlign w:val="superscript"/>
              </w:rPr>
              <w:t>2</w:t>
            </w:r>
            <w:r>
              <w:rPr>
                <w:rFonts w:hint="eastAsia" w:ascii="Times New Roman" w:hAnsi="Times New Roman" w:eastAsia="仿宋_GB2312"/>
                <w:color w:val="000000"/>
                <w:sz w:val="24"/>
                <w:szCs w:val="24"/>
              </w:rPr>
              <w:t>的房屋装修需耗15个组份的涂料（包括地板漆、墙面漆、家具漆和内墙涂料等），每组份涂料约为10kg，即约150kg。油漆在上漆后的挥发量约为涂料量的30%，即45kg，含甲苯和二甲苯约20%，需向大气中排放甲苯和二甲苯9kg。本项目总装修面积按总建筑面积</w:t>
            </w:r>
            <w:r>
              <w:rPr>
                <w:rFonts w:ascii="Times New Roman" w:hAnsi="Times New Roman" w:eastAsia="仿宋_GB2312"/>
                <w:color w:val="000000"/>
                <w:sz w:val="24"/>
                <w:szCs w:val="24"/>
              </w:rPr>
              <w:t>4756.9</w:t>
            </w:r>
            <w:r>
              <w:rPr>
                <w:rFonts w:hint="eastAsia" w:ascii="Times New Roman" w:hAnsi="Times New Roman" w:eastAsia="仿宋_GB2312"/>
                <w:color w:val="000000"/>
                <w:sz w:val="24"/>
                <w:szCs w:val="24"/>
              </w:rPr>
              <w:t>m</w:t>
            </w:r>
            <w:r>
              <w:rPr>
                <w:rFonts w:hint="eastAsia" w:ascii="Times New Roman" w:hAnsi="Times New Roman" w:eastAsia="仿宋_GB2312"/>
                <w:color w:val="000000"/>
                <w:sz w:val="24"/>
                <w:szCs w:val="24"/>
                <w:vertAlign w:val="superscript"/>
              </w:rPr>
              <w:t>2</w:t>
            </w:r>
            <w:r>
              <w:rPr>
                <w:rFonts w:hint="eastAsia" w:ascii="Times New Roman" w:hAnsi="Times New Roman" w:eastAsia="仿宋_GB2312"/>
                <w:color w:val="000000"/>
                <w:sz w:val="24"/>
                <w:szCs w:val="24"/>
              </w:rPr>
              <w:t>计算，涂料耗量约为</w:t>
            </w:r>
            <w:r>
              <w:rPr>
                <w:rFonts w:ascii="Times New Roman" w:hAnsi="Times New Roman" w:eastAsia="仿宋_GB2312"/>
                <w:color w:val="000000"/>
                <w:sz w:val="24"/>
                <w:szCs w:val="24"/>
              </w:rPr>
              <w:t>4756.9</w:t>
            </w:r>
            <w:r>
              <w:rPr>
                <w:rFonts w:hint="eastAsia" w:ascii="Times New Roman" w:hAnsi="Times New Roman" w:eastAsia="仿宋_GB2312"/>
                <w:color w:val="000000"/>
                <w:sz w:val="24"/>
                <w:szCs w:val="24"/>
              </w:rPr>
              <w:t>kg，需向周围大气环境排放甲苯和二甲苯约</w:t>
            </w:r>
            <w:r>
              <w:rPr>
                <w:rFonts w:ascii="Times New Roman" w:hAnsi="Times New Roman" w:eastAsia="仿宋_GB2312"/>
                <w:color w:val="000000"/>
                <w:sz w:val="24"/>
                <w:szCs w:val="24"/>
              </w:rPr>
              <w:t>285.414</w:t>
            </w:r>
            <w:r>
              <w:rPr>
                <w:rFonts w:hint="eastAsia" w:ascii="Times New Roman" w:hAnsi="Times New Roman" w:eastAsia="仿宋_GB2312"/>
                <w:color w:val="000000"/>
                <w:sz w:val="24"/>
                <w:szCs w:val="24"/>
              </w:rPr>
              <w:t>kg。油漆废气的排放时间不确定，可持续较长时间。</w:t>
            </w:r>
          </w:p>
          <w:p>
            <w:pPr>
              <w:adjustRightInd w:val="0"/>
              <w:snapToGrid w:val="0"/>
              <w:spacing w:line="50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（2）废水</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施工期间仅进行装修工程、设备安装和调试</w:t>
            </w:r>
            <w:r>
              <w:rPr>
                <w:rFonts w:hint="eastAsia" w:ascii="Times New Roman" w:hAnsi="Times New Roman" w:eastAsia="仿宋_GB2312"/>
                <w:color w:val="000000"/>
                <w:sz w:val="24"/>
                <w:szCs w:val="24"/>
              </w:rPr>
              <w:t>，不产生施工废水，仅有少量生活污水排放</w:t>
            </w:r>
            <w:r>
              <w:rPr>
                <w:rFonts w:ascii="Times New Roman" w:hAnsi="Times New Roman" w:eastAsia="仿宋_GB2312"/>
                <w:color w:val="000000"/>
                <w:sz w:val="24"/>
                <w:szCs w:val="24"/>
              </w:rPr>
              <w:t>。</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拟建项目高峰期施工人数20人，施工场地生活污水产生量按下式计算：</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Q=（k×q×n）/1000</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式中：Q-生活污水量，m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/d；</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k-污水排放系数（0.6~0.9），取0.8；</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q-每人每天生活用水量，取50L/人·d；</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n-每天施工人数，人。</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施工期生活污水主要污染物为COD、SS、氨氮、总磷，其浓度分别为COD 350mg/L、SS 300mg/L、NH</w:t>
            </w:r>
            <w:r>
              <w:rPr>
                <w:rFonts w:ascii="Times New Roman" w:hAnsi="Times New Roman" w:eastAsia="仿宋_GB2312"/>
                <w:color w:val="000000"/>
                <w:sz w:val="24"/>
                <w:szCs w:val="24"/>
                <w:vertAlign w:val="subscript"/>
              </w:rPr>
              <w:t>3</w:t>
            </w:r>
            <w:r>
              <w:rPr>
                <w:rFonts w:ascii="Times New Roman" w:hAnsi="Times New Roman" w:eastAsia="仿宋_GB2312"/>
                <w:color w:val="000000"/>
                <w:sz w:val="24"/>
                <w:szCs w:val="24"/>
              </w:rPr>
              <w:t>-N 40mg/L、总磷 4mg/L。经计算施工人员生活污水和污染物的产生情况见表5-1。</w:t>
            </w:r>
          </w:p>
          <w:p>
            <w:pPr>
              <w:adjustRightInd w:val="0"/>
              <w:snapToGrid w:val="0"/>
              <w:spacing w:line="480" w:lineRule="exact"/>
              <w:ind w:firstLine="482" w:firstLineChars="20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表5-1 施工人员生活污水情况   单位：t/d</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88"/>
              <w:gridCol w:w="1565"/>
              <w:gridCol w:w="1392"/>
              <w:gridCol w:w="1565"/>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1040"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施工人数(人)</w:t>
                  </w:r>
                </w:p>
              </w:tc>
              <w:tc>
                <w:tcPr>
                  <w:tcW w:w="753"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污水量</w:t>
                  </w:r>
                </w:p>
              </w:tc>
              <w:tc>
                <w:tcPr>
                  <w:tcW w:w="849"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COD</w:t>
                  </w:r>
                </w:p>
              </w:tc>
              <w:tc>
                <w:tcPr>
                  <w:tcW w:w="755"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SS</w:t>
                  </w:r>
                </w:p>
              </w:tc>
              <w:tc>
                <w:tcPr>
                  <w:tcW w:w="849"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氨氮</w:t>
                  </w:r>
                </w:p>
              </w:tc>
              <w:tc>
                <w:tcPr>
                  <w:tcW w:w="753"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0"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20</w:t>
                  </w:r>
                </w:p>
              </w:tc>
              <w:tc>
                <w:tcPr>
                  <w:tcW w:w="753"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0.8</w:t>
                  </w:r>
                </w:p>
              </w:tc>
              <w:tc>
                <w:tcPr>
                  <w:tcW w:w="849"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4.48×10</w:t>
                  </w:r>
                  <w:r>
                    <w:rPr>
                      <w:rFonts w:ascii="Times New Roman" w:hAnsi="Times New Roman" w:eastAsia="仿宋_GB2312"/>
                      <w:color w:val="000000"/>
                      <w:szCs w:val="21"/>
                      <w:vertAlign w:val="superscript"/>
                    </w:rPr>
                    <w:t>-4</w:t>
                  </w:r>
                </w:p>
              </w:tc>
              <w:tc>
                <w:tcPr>
                  <w:tcW w:w="755"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3.84×10</w:t>
                  </w:r>
                  <w:r>
                    <w:rPr>
                      <w:rFonts w:ascii="Times New Roman" w:hAnsi="Times New Roman" w:eastAsia="仿宋_GB2312"/>
                      <w:color w:val="000000"/>
                      <w:szCs w:val="21"/>
                      <w:vertAlign w:val="superscript"/>
                    </w:rPr>
                    <w:t>-4</w:t>
                  </w:r>
                </w:p>
              </w:tc>
              <w:tc>
                <w:tcPr>
                  <w:tcW w:w="849"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5.12×10</w:t>
                  </w:r>
                  <w:r>
                    <w:rPr>
                      <w:rFonts w:ascii="Times New Roman" w:hAnsi="Times New Roman" w:eastAsia="仿宋_GB2312"/>
                      <w:color w:val="000000"/>
                      <w:szCs w:val="21"/>
                      <w:vertAlign w:val="superscript"/>
                    </w:rPr>
                    <w:t>-5</w:t>
                  </w:r>
                </w:p>
              </w:tc>
              <w:tc>
                <w:tcPr>
                  <w:tcW w:w="753"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5.12×10</w:t>
                  </w:r>
                  <w:r>
                    <w:rPr>
                      <w:rFonts w:ascii="Times New Roman" w:hAnsi="Times New Roman" w:eastAsia="仿宋_GB2312"/>
                      <w:color w:val="000000"/>
                      <w:szCs w:val="21"/>
                      <w:vertAlign w:val="superscript"/>
                    </w:rPr>
                    <w:t>-6</w:t>
                  </w:r>
                </w:p>
              </w:tc>
            </w:tr>
          </w:tbl>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施工期生活污水经原有化粪池预处理后接管至江心洲污水处理厂，处理出水水质达《城镇污水处理厂污染物排放标准》（GB18918-2002）一级A标准后外排至长江。</w:t>
            </w:r>
          </w:p>
          <w:p>
            <w:pPr>
              <w:adjustRightInd w:val="0"/>
              <w:snapToGrid w:val="0"/>
              <w:spacing w:line="50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（3）固废</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施工期间仅进行装修工程、设备安装和调试，故施工期固体废弃物主要为</w:t>
            </w:r>
            <w:r>
              <w:rPr>
                <w:rFonts w:hint="eastAsia" w:ascii="Times New Roman" w:hAnsi="Times New Roman" w:eastAsia="仿宋_GB2312"/>
                <w:color w:val="000000"/>
                <w:sz w:val="24"/>
                <w:szCs w:val="24"/>
              </w:rPr>
              <w:t>设备包装材料、装修产生的装修垃圾以及</w:t>
            </w:r>
            <w:r>
              <w:rPr>
                <w:rFonts w:ascii="Times New Roman" w:hAnsi="Times New Roman" w:eastAsia="仿宋_GB2312"/>
                <w:color w:val="000000"/>
                <w:sz w:val="24"/>
                <w:szCs w:val="24"/>
              </w:rPr>
              <w:t>施工人员的生活垃圾等。</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项目包装垃圾主要为仪器打包安装材料，通风橱、集气罩等新建设备包装，按照仪器及设备数量，将产生约2</w:t>
            </w:r>
            <w:r>
              <w:rPr>
                <w:rFonts w:ascii="Times New Roman" w:hAnsi="Times New Roman" w:eastAsia="仿宋_GB2312"/>
                <w:color w:val="000000"/>
                <w:sz w:val="24"/>
                <w:szCs w:val="24"/>
              </w:rPr>
              <w:t>.0</w:t>
            </w:r>
            <w:r>
              <w:rPr>
                <w:rFonts w:hint="eastAsia" w:ascii="Times New Roman" w:hAnsi="Times New Roman" w:eastAsia="仿宋_GB2312"/>
                <w:color w:val="000000"/>
                <w:sz w:val="24"/>
                <w:szCs w:val="24"/>
              </w:rPr>
              <w:t>t的包装垃圾，由环卫部门统一清运。</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项目装修垃圾主要为项目装修过程中所剩废油漆桶，按照每个桶1kg计算，项目总共产生约4</w:t>
            </w:r>
            <w:r>
              <w:rPr>
                <w:rFonts w:ascii="Times New Roman" w:hAnsi="Times New Roman" w:eastAsia="仿宋_GB2312"/>
                <w:color w:val="000000"/>
                <w:sz w:val="24"/>
                <w:szCs w:val="24"/>
              </w:rPr>
              <w:t>76</w:t>
            </w:r>
            <w:r>
              <w:rPr>
                <w:rFonts w:hint="eastAsia" w:ascii="Times New Roman" w:hAnsi="Times New Roman" w:eastAsia="仿宋_GB2312"/>
                <w:color w:val="000000"/>
                <w:sz w:val="24"/>
                <w:szCs w:val="24"/>
              </w:rPr>
              <w:t>个桶，即废油漆桶产生量约为4</w:t>
            </w:r>
            <w:r>
              <w:rPr>
                <w:rFonts w:ascii="Times New Roman" w:hAnsi="Times New Roman" w:eastAsia="仿宋_GB2312"/>
                <w:color w:val="000000"/>
                <w:sz w:val="24"/>
                <w:szCs w:val="24"/>
              </w:rPr>
              <w:t>76</w:t>
            </w:r>
            <w:r>
              <w:rPr>
                <w:rFonts w:hint="eastAsia" w:ascii="Times New Roman" w:hAnsi="Times New Roman" w:eastAsia="仿宋_GB2312"/>
                <w:color w:val="000000"/>
                <w:sz w:val="24"/>
                <w:szCs w:val="24"/>
              </w:rPr>
              <w:t>kg。</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项目生活垃圾按0.5kg/(p·d)，项目施工期约60天，施工人员按20人计，则生活垃圾产生量为0.6t，由环卫部门统一清运。</w:t>
            </w:r>
          </w:p>
          <w:p>
            <w:pPr>
              <w:adjustRightInd w:val="0"/>
              <w:snapToGrid w:val="0"/>
              <w:spacing w:line="50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（4）噪声</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施工期</w:t>
            </w:r>
            <w:r>
              <w:rPr>
                <w:rFonts w:ascii="Times New Roman" w:hAnsi="Times New Roman" w:eastAsia="仿宋_GB2312"/>
                <w:color w:val="000000"/>
                <w:sz w:val="24"/>
                <w:szCs w:val="24"/>
              </w:rPr>
              <w:t>噪声主要来自大楼装修、设备安装阶段电钻、电锤等设备噪声，其声级为100-105dB(A)。主要施工机械设备的噪声声级见表5-2。</w:t>
            </w:r>
          </w:p>
          <w:p>
            <w:pPr>
              <w:adjustRightInd w:val="0"/>
              <w:snapToGrid w:val="0"/>
              <w:spacing w:line="480" w:lineRule="exact"/>
              <w:ind w:firstLine="480" w:firstLineChars="200"/>
              <w:jc w:val="center"/>
              <w:rPr>
                <w:rFonts w:ascii="Times New Roman" w:hAnsi="Times New Roman" w:eastAsia="仿宋_GB2312"/>
                <w:color w:val="000000"/>
                <w:sz w:val="24"/>
                <w:szCs w:val="24"/>
              </w:rPr>
            </w:pPr>
          </w:p>
          <w:p>
            <w:pPr>
              <w:adjustRightInd w:val="0"/>
              <w:snapToGrid w:val="0"/>
              <w:spacing w:line="480" w:lineRule="exact"/>
              <w:ind w:firstLine="482" w:firstLineChars="20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表5-2  主要施工机械设备的噪声声级</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93"/>
              <w:gridCol w:w="3845"/>
              <w:gridCol w:w="27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07" w:type="pct"/>
                  <w:shd w:val="clear" w:color="auto" w:fill="auto"/>
                  <w:vAlign w:val="center"/>
                </w:tcPr>
                <w:p>
                  <w:pPr>
                    <w:adjustRightInd w:val="0"/>
                    <w:snapToGrid w:val="0"/>
                    <w:jc w:val="center"/>
                    <w:rPr>
                      <w:rFonts w:ascii="Times New Roman" w:hAnsi="Times New Roman" w:eastAsia="仿宋_GB2312"/>
                      <w:b/>
                      <w:bCs/>
                      <w:caps/>
                      <w:kern w:val="0"/>
                      <w:szCs w:val="21"/>
                    </w:rPr>
                  </w:pPr>
                  <w:r>
                    <w:rPr>
                      <w:rFonts w:ascii="Times New Roman" w:hAnsi="Times New Roman" w:eastAsia="仿宋_GB2312"/>
                      <w:b/>
                      <w:bCs/>
                      <w:caps/>
                      <w:kern w:val="0"/>
                      <w:szCs w:val="21"/>
                    </w:rPr>
                    <w:t>施工阶段</w:t>
                  </w:r>
                </w:p>
              </w:tc>
              <w:tc>
                <w:tcPr>
                  <w:tcW w:w="2086" w:type="pct"/>
                  <w:shd w:val="clear" w:color="auto" w:fill="auto"/>
                  <w:vAlign w:val="center"/>
                </w:tcPr>
                <w:p>
                  <w:pPr>
                    <w:adjustRightInd w:val="0"/>
                    <w:snapToGrid w:val="0"/>
                    <w:jc w:val="center"/>
                    <w:rPr>
                      <w:rFonts w:ascii="Times New Roman" w:hAnsi="Times New Roman" w:eastAsia="仿宋_GB2312"/>
                      <w:b/>
                      <w:bCs/>
                      <w:caps/>
                      <w:kern w:val="0"/>
                      <w:szCs w:val="21"/>
                    </w:rPr>
                  </w:pPr>
                  <w:r>
                    <w:rPr>
                      <w:rFonts w:ascii="Times New Roman" w:hAnsi="Times New Roman" w:eastAsia="仿宋_GB2312"/>
                      <w:b/>
                      <w:bCs/>
                      <w:caps/>
                      <w:kern w:val="0"/>
                      <w:szCs w:val="21"/>
                    </w:rPr>
                    <w:t>声源</w:t>
                  </w:r>
                </w:p>
              </w:tc>
              <w:tc>
                <w:tcPr>
                  <w:tcW w:w="1507" w:type="pct"/>
                  <w:shd w:val="clear" w:color="auto" w:fill="auto"/>
                  <w:vAlign w:val="center"/>
                </w:tcPr>
                <w:p>
                  <w:pPr>
                    <w:adjustRightInd w:val="0"/>
                    <w:snapToGrid w:val="0"/>
                    <w:jc w:val="center"/>
                    <w:rPr>
                      <w:rFonts w:ascii="Times New Roman" w:hAnsi="Times New Roman" w:eastAsia="仿宋_GB2312"/>
                      <w:b/>
                      <w:bCs/>
                      <w:caps/>
                      <w:kern w:val="0"/>
                      <w:szCs w:val="21"/>
                    </w:rPr>
                  </w:pPr>
                  <w:r>
                    <w:rPr>
                      <w:rFonts w:ascii="Times New Roman" w:hAnsi="Times New Roman" w:eastAsia="仿宋_GB2312"/>
                      <w:b/>
                      <w:bCs/>
                      <w:caps/>
                      <w:kern w:val="0"/>
                      <w:szCs w:val="21"/>
                    </w:rPr>
                    <w:t>声源强度(</w:t>
                  </w:r>
                  <w:r>
                    <w:rPr>
                      <w:rFonts w:ascii="Times New Roman" w:hAnsi="Times New Roman" w:eastAsia="仿宋_GB2312"/>
                      <w:b/>
                      <w:bCs/>
                      <w:kern w:val="0"/>
                      <w:szCs w:val="21"/>
                    </w:rPr>
                    <w:t>d</w:t>
                  </w:r>
                  <w:r>
                    <w:rPr>
                      <w:rFonts w:ascii="Times New Roman" w:hAnsi="Times New Roman" w:eastAsia="仿宋_GB2312"/>
                      <w:b/>
                      <w:bCs/>
                      <w:caps/>
                      <w:kern w:val="0"/>
                      <w:szCs w:val="21"/>
                    </w:rPr>
                    <w:t>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07" w:type="pct"/>
                  <w:vMerge w:val="restar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装修、安装阶段</w:t>
                  </w:r>
                </w:p>
              </w:tc>
              <w:tc>
                <w:tcPr>
                  <w:tcW w:w="2086" w:type="pc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电钻</w:t>
                  </w:r>
                </w:p>
              </w:tc>
              <w:tc>
                <w:tcPr>
                  <w:tcW w:w="1507" w:type="pc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100-105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407" w:type="pct"/>
                  <w:vMerge w:val="continue"/>
                  <w:shd w:val="clear" w:color="auto" w:fill="auto"/>
                  <w:vAlign w:val="center"/>
                </w:tcPr>
                <w:p>
                  <w:pPr>
                    <w:adjustRightInd w:val="0"/>
                    <w:snapToGrid w:val="0"/>
                    <w:ind w:firstLine="480"/>
                    <w:jc w:val="center"/>
                    <w:rPr>
                      <w:rFonts w:ascii="Times New Roman" w:hAnsi="Times New Roman" w:eastAsia="仿宋_GB2312"/>
                      <w:kern w:val="0"/>
                      <w:szCs w:val="21"/>
                    </w:rPr>
                  </w:pPr>
                </w:p>
              </w:tc>
              <w:tc>
                <w:tcPr>
                  <w:tcW w:w="2086" w:type="pc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电锤</w:t>
                  </w:r>
                </w:p>
              </w:tc>
              <w:tc>
                <w:tcPr>
                  <w:tcW w:w="1507" w:type="pc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100-105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jc w:val="center"/>
              </w:trPr>
              <w:tc>
                <w:tcPr>
                  <w:tcW w:w="1407" w:type="pct"/>
                  <w:vMerge w:val="continue"/>
                  <w:shd w:val="clear" w:color="auto" w:fill="auto"/>
                  <w:vAlign w:val="center"/>
                </w:tcPr>
                <w:p>
                  <w:pPr>
                    <w:adjustRightInd w:val="0"/>
                    <w:snapToGrid w:val="0"/>
                    <w:ind w:firstLine="480"/>
                    <w:jc w:val="center"/>
                    <w:rPr>
                      <w:rFonts w:ascii="Times New Roman" w:hAnsi="Times New Roman" w:eastAsia="仿宋_GB2312"/>
                      <w:kern w:val="0"/>
                      <w:szCs w:val="21"/>
                    </w:rPr>
                  </w:pPr>
                </w:p>
              </w:tc>
              <w:tc>
                <w:tcPr>
                  <w:tcW w:w="2086" w:type="pc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手工钻</w:t>
                  </w:r>
                </w:p>
              </w:tc>
              <w:tc>
                <w:tcPr>
                  <w:tcW w:w="1507" w:type="pct"/>
                  <w:shd w:val="clear" w:color="auto" w:fill="auto"/>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100-105</w:t>
                  </w:r>
                </w:p>
              </w:tc>
            </w:tr>
          </w:tbl>
          <w:p>
            <w:pPr>
              <w:pStyle w:val="83"/>
              <w:spacing w:line="500" w:lineRule="exact"/>
              <w:rPr>
                <w:rFonts w:ascii="Times New Roman" w:hAnsi="Times New Roman" w:eastAsia="仿宋_GB2312"/>
              </w:rPr>
            </w:pPr>
            <w:r>
              <w:rPr>
                <w:rFonts w:ascii="Times New Roman" w:hAnsi="Times New Roman" w:eastAsia="仿宋_GB2312"/>
              </w:rPr>
              <w:t>2、营运期工程分析</w:t>
            </w:r>
          </w:p>
          <w:p>
            <w:pPr>
              <w:pStyle w:val="107"/>
              <w:spacing w:line="500" w:lineRule="exact"/>
              <w:ind w:firstLine="480"/>
              <w:rPr>
                <w:rFonts w:eastAsia="仿宋_GB2312"/>
                <w:b w:val="0"/>
                <w:bCs/>
                <w:szCs w:val="24"/>
              </w:rPr>
            </w:pPr>
            <w:r>
              <w:rPr>
                <w:rFonts w:eastAsia="仿宋_GB2312"/>
                <w:b w:val="0"/>
                <w:bCs/>
                <w:szCs w:val="24"/>
              </w:rPr>
              <w:t>（1）营运期生产工艺流程</w:t>
            </w:r>
          </w:p>
          <w:p>
            <w:pPr>
              <w:adjustRightInd w:val="0"/>
              <w:snapToGrid w:val="0"/>
              <w:spacing w:line="500" w:lineRule="exact"/>
              <w:ind w:firstLine="480" w:firstLineChars="200"/>
              <w:rPr>
                <w:rFonts w:ascii="Times New Roman" w:hAnsi="Times New Roman" w:eastAsia="仿宋_GB2312"/>
                <w:bCs/>
                <w:color w:val="000000"/>
                <w:sz w:val="24"/>
                <w:szCs w:val="24"/>
              </w:rPr>
            </w:pPr>
            <w:r>
              <w:rPr>
                <w:rFonts w:ascii="Times New Roman" w:hAnsi="Times New Roman" w:eastAsia="仿宋_GB2312"/>
                <w:color w:val="000000"/>
                <w:sz w:val="24"/>
                <w:szCs w:val="24"/>
              </w:rPr>
              <w:t>项目</w:t>
            </w:r>
            <w:r>
              <w:rPr>
                <w:rFonts w:ascii="Times New Roman" w:hAnsi="Times New Roman" w:eastAsia="仿宋_GB2312"/>
                <w:bCs/>
                <w:color w:val="000000"/>
                <w:sz w:val="24"/>
                <w:szCs w:val="24"/>
              </w:rPr>
              <w:t>投产后，不涉及生产，主要为</w:t>
            </w:r>
            <w:r>
              <w:rPr>
                <w:rFonts w:ascii="Times New Roman" w:hAnsi="Times New Roman" w:eastAsia="仿宋_GB2312"/>
                <w:color w:val="000000"/>
                <w:sz w:val="24"/>
                <w:szCs w:val="24"/>
              </w:rPr>
              <w:t>科研实验及</w:t>
            </w:r>
            <w:r>
              <w:rPr>
                <w:rFonts w:ascii="Times New Roman" w:hAnsi="Times New Roman" w:eastAsia="仿宋_GB2312"/>
                <w:bCs/>
                <w:color w:val="000000"/>
                <w:sz w:val="24"/>
                <w:szCs w:val="24"/>
              </w:rPr>
              <w:t>样品检验。检测过程中使用的纯水均自行制备，纯水制备工艺流程见图5-2。</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测试中心检测工作分为现场检测及实验室检测。其中部分检测项目如噪声、水温、风速等，仅在现场进行检测，检测后在实验室出具检测报告，主要为物理检测，所用设备主要存放在一层现场设备室。其余检测项目需要在实验室进行样品预处理和分析，主要为化学检测，位于实验室三、四层。</w:t>
            </w:r>
            <w:r>
              <w:rPr>
                <w:rFonts w:ascii="Times New Roman" w:hAnsi="Times New Roman" w:eastAsia="仿宋_GB2312"/>
                <w:bCs/>
                <w:color w:val="000000"/>
                <w:sz w:val="24"/>
                <w:szCs w:val="24"/>
              </w:rPr>
              <w:t>工艺流程见图5-3、图5-4</w:t>
            </w:r>
            <w:r>
              <w:rPr>
                <w:rFonts w:ascii="Times New Roman" w:hAnsi="Times New Roman" w:eastAsia="仿宋_GB2312"/>
                <w:color w:val="000000"/>
                <w:sz w:val="24"/>
                <w:szCs w:val="24"/>
              </w:rPr>
              <w:t>。</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科研实验流程主要根据具体实验内容确定，主要围绕污染土壤、</w:t>
            </w:r>
            <w:r>
              <w:rPr>
                <w:rFonts w:hint="eastAsia" w:ascii="Times New Roman" w:hAnsi="Times New Roman" w:eastAsia="仿宋_GB2312"/>
                <w:color w:val="000000"/>
                <w:sz w:val="24"/>
                <w:szCs w:val="24"/>
              </w:rPr>
              <w:t>大气</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水体</w:t>
            </w:r>
            <w:r>
              <w:rPr>
                <w:rFonts w:ascii="Times New Roman" w:hAnsi="Times New Roman" w:eastAsia="仿宋_GB2312"/>
                <w:color w:val="000000"/>
                <w:sz w:val="24"/>
                <w:szCs w:val="24"/>
              </w:rPr>
              <w:t>等介质的环境治理修复开展</w:t>
            </w:r>
            <w:r>
              <w:rPr>
                <w:rFonts w:hint="eastAsia" w:ascii="Times New Roman" w:hAnsi="Times New Roman" w:eastAsia="仿宋_GB2312"/>
                <w:color w:val="000000"/>
                <w:sz w:val="24"/>
                <w:szCs w:val="24"/>
              </w:rPr>
              <w:t>科研</w:t>
            </w:r>
            <w:r>
              <w:rPr>
                <w:rFonts w:ascii="Times New Roman" w:hAnsi="Times New Roman" w:eastAsia="仿宋_GB2312"/>
                <w:color w:val="000000"/>
                <w:sz w:val="24"/>
                <w:szCs w:val="24"/>
              </w:rPr>
              <w:t>实验，位于实验室二、五层。</w:t>
            </w:r>
            <w:r>
              <w:rPr>
                <w:rFonts w:ascii="Times New Roman" w:hAnsi="Times New Roman" w:eastAsia="仿宋_GB2312"/>
                <w:bCs/>
                <w:color w:val="000000"/>
                <w:sz w:val="24"/>
                <w:szCs w:val="24"/>
              </w:rPr>
              <w:t>工艺流程见图5-5</w:t>
            </w:r>
            <w:r>
              <w:rPr>
                <w:rFonts w:ascii="Times New Roman" w:hAnsi="Times New Roman" w:eastAsia="仿宋_GB2312"/>
                <w:color w:val="000000"/>
                <w:sz w:val="24"/>
                <w:szCs w:val="24"/>
              </w:rPr>
              <w:t>。</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1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①</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纯水制备</w:t>
            </w:r>
          </w:p>
          <w:p>
            <w:pPr>
              <w:pStyle w:val="62"/>
              <w:spacing w:line="500" w:lineRule="exact"/>
              <w:ind w:firstLine="480"/>
              <w:rPr>
                <w:rFonts w:eastAsia="仿宋_GB2312"/>
                <w:szCs w:val="24"/>
              </w:rPr>
            </w:pPr>
            <w:r>
              <w:rPr>
                <w:rFonts w:hint="eastAsia" w:eastAsia="仿宋_GB2312"/>
                <w:szCs w:val="24"/>
              </w:rPr>
              <w:t>纯水制备取用自来水做为原水，</w:t>
            </w:r>
            <w:r>
              <w:rPr>
                <w:rFonts w:eastAsia="仿宋_GB2312"/>
                <w:szCs w:val="24"/>
              </w:rPr>
              <w:t>通过</w:t>
            </w:r>
            <w:r>
              <w:rPr>
                <w:rFonts w:hint="eastAsia" w:eastAsia="仿宋_GB2312"/>
                <w:szCs w:val="24"/>
              </w:rPr>
              <w:t>反渗透膜</w:t>
            </w:r>
            <w:r>
              <w:rPr>
                <w:rFonts w:eastAsia="仿宋_GB2312"/>
                <w:szCs w:val="24"/>
              </w:rPr>
              <w:t>去除水中的阴阳离子以及各种有害菌落</w:t>
            </w:r>
            <w:r>
              <w:rPr>
                <w:rFonts w:hint="eastAsia" w:eastAsia="仿宋_GB2312"/>
                <w:szCs w:val="24"/>
              </w:rPr>
              <w:t>、颗粒物和</w:t>
            </w:r>
            <w:r>
              <w:rPr>
                <w:rFonts w:eastAsia="仿宋_GB2312"/>
                <w:szCs w:val="24"/>
              </w:rPr>
              <w:t>热源。纯水制备的过程产生噪声、废</w:t>
            </w:r>
            <w:r>
              <w:rPr>
                <w:rFonts w:hint="eastAsia" w:eastAsia="仿宋_GB2312"/>
                <w:szCs w:val="24"/>
              </w:rPr>
              <w:t>反渗透</w:t>
            </w:r>
            <w:r>
              <w:rPr>
                <w:rFonts w:eastAsia="仿宋_GB2312"/>
                <w:szCs w:val="24"/>
              </w:rPr>
              <w:t>膜（S1-1）</w:t>
            </w:r>
            <w:r>
              <w:rPr>
                <w:rFonts w:hint="eastAsia" w:eastAsia="仿宋_GB2312"/>
                <w:szCs w:val="24"/>
              </w:rPr>
              <w:t>、反冲洗废水和反渗透浓水</w:t>
            </w:r>
            <w:r>
              <w:rPr>
                <w:rFonts w:eastAsia="仿宋_GB2312"/>
                <w:szCs w:val="24"/>
              </w:rPr>
              <w:t>（W1-1）。</w:t>
            </w:r>
          </w:p>
          <w:p>
            <w:pPr>
              <w:adjustRightInd w:val="0"/>
              <w:snapToGrid w:val="0"/>
              <w:jc w:val="center"/>
              <w:rPr>
                <w:rFonts w:ascii="Times New Roman" w:hAnsi="Times New Roman" w:eastAsia="仿宋_GB2312"/>
                <w:color w:val="000000"/>
                <w:sz w:val="24"/>
                <w:szCs w:val="24"/>
              </w:rPr>
            </w:pPr>
            <w:r>
              <w:rPr>
                <w:rFonts w:ascii="Times New Roman" w:hAnsi="Times New Roman" w:eastAsia="仿宋_GB2312"/>
              </w:rPr>
              <w:object>
                <v:shape id="_x0000_i1025" o:spt="75" type="#_x0000_t75" style="height:158.4pt;width:460.8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pPr>
              <w:adjustRightInd w:val="0"/>
              <w:snapToGrid w:val="0"/>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图5-2 纯水制备工艺流程图</w:t>
            </w:r>
          </w:p>
          <w:p>
            <w:pPr>
              <w:adjustRightInd w:val="0"/>
              <w:snapToGrid w:val="0"/>
              <w:spacing w:line="48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2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②</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物理检测</w:t>
            </w:r>
          </w:p>
          <w:p>
            <w:pPr>
              <w:adjustRightInd w:val="0"/>
              <w:snapToGrid w:val="0"/>
              <w:spacing w:line="48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物理检测主要为噪声、水温、风速等检测。主要流程如下：</w:t>
            </w:r>
          </w:p>
          <w:p>
            <w:pPr>
              <w:pStyle w:val="253"/>
              <w:rPr>
                <w:rFonts w:eastAsia="仿宋_GB2312"/>
                <w:color w:val="000000"/>
              </w:rPr>
            </w:pPr>
          </w:p>
          <w:p>
            <w:pPr>
              <w:adjustRightInd w:val="0"/>
              <w:snapToGrid w:val="0"/>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object>
                <v:shape id="_x0000_i1026" o:spt="75" type="#_x0000_t75" style="height:36.3pt;width:374.4pt;" o:ole="t" filled="f" o:preferrelative="t" stroked="f" coordsize="21600,21600">
                  <v:path/>
                  <v:fill on="f" focussize="0,0"/>
                  <v:stroke on="f" joinstyle="miter"/>
                  <v:imagedata r:id="rId12" o:title=""/>
                  <o:lock v:ext="edit" aspectratio="f"/>
                  <w10:wrap type="none"/>
                  <w10:anchorlock/>
                </v:shape>
                <o:OLEObject Type="Embed" ProgID="Visio.Drawing.11" ShapeID="_x0000_i1026" DrawAspect="Content" ObjectID="_1468075726" r:id="rId11">
                  <o:LockedField>false</o:LockedField>
                </o:OLEObject>
              </w:object>
            </w:r>
          </w:p>
          <w:p>
            <w:pPr>
              <w:adjustRightInd w:val="0"/>
              <w:snapToGrid w:val="0"/>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图5-3 物理检测工艺流程图</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1 \* alphabetic </w:instrText>
            </w:r>
            <w:r>
              <w:rPr>
                <w:rFonts w:ascii="Times New Roman" w:hAnsi="Times New Roman" w:eastAsia="仿宋_GB2312"/>
                <w:color w:val="000000"/>
                <w:sz w:val="24"/>
                <w:szCs w:val="24"/>
              </w:rPr>
              <w:fldChar w:fldCharType="separate"/>
            </w:r>
            <w:r>
              <w:rPr>
                <w:rFonts w:ascii="Times New Roman" w:hAnsi="Times New Roman" w:eastAsia="仿宋_GB2312"/>
                <w:color w:val="000000"/>
                <w:sz w:val="24"/>
                <w:szCs w:val="24"/>
              </w:rPr>
              <w:t>a</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、订单录入：商务人员或评价人员根据客户和法律法规要求将需检测的订单录入公司数据系统。</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2 \* alphabetic </w:instrText>
            </w:r>
            <w:r>
              <w:rPr>
                <w:rFonts w:ascii="Times New Roman" w:hAnsi="Times New Roman" w:eastAsia="仿宋_GB2312"/>
                <w:color w:val="000000"/>
                <w:sz w:val="24"/>
                <w:szCs w:val="24"/>
              </w:rPr>
              <w:fldChar w:fldCharType="separate"/>
            </w:r>
            <w:r>
              <w:rPr>
                <w:rFonts w:ascii="Times New Roman" w:hAnsi="Times New Roman" w:eastAsia="仿宋_GB2312"/>
                <w:color w:val="000000"/>
                <w:sz w:val="24"/>
                <w:szCs w:val="24"/>
              </w:rPr>
              <w:t>b</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、设备准备：现场人员根据订单内容，准备检测设备。</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3 \* alphabetic </w:instrText>
            </w:r>
            <w:r>
              <w:rPr>
                <w:rFonts w:ascii="Times New Roman" w:hAnsi="Times New Roman" w:eastAsia="仿宋_GB2312"/>
                <w:color w:val="000000"/>
                <w:sz w:val="24"/>
                <w:szCs w:val="24"/>
              </w:rPr>
              <w:fldChar w:fldCharType="separate"/>
            </w:r>
            <w:r>
              <w:rPr>
                <w:rFonts w:ascii="Times New Roman" w:hAnsi="Times New Roman" w:eastAsia="仿宋_GB2312"/>
                <w:color w:val="000000"/>
                <w:sz w:val="24"/>
                <w:szCs w:val="24"/>
              </w:rPr>
              <w:t>c</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、数据读取：现场人员操作仪器，检测数据（检测地点在</w:t>
            </w:r>
            <w:r>
              <w:rPr>
                <w:rFonts w:hint="eastAsia" w:ascii="Times New Roman" w:hAnsi="Times New Roman" w:eastAsia="仿宋_GB2312"/>
                <w:color w:val="000000"/>
                <w:sz w:val="24"/>
                <w:szCs w:val="24"/>
              </w:rPr>
              <w:t>检测现场，不在本项目所在地</w:t>
            </w:r>
            <w:r>
              <w:rPr>
                <w:rFonts w:ascii="Times New Roman" w:hAnsi="Times New Roman" w:eastAsia="仿宋_GB2312"/>
                <w:color w:val="000000"/>
                <w:sz w:val="24"/>
                <w:szCs w:val="24"/>
              </w:rPr>
              <w:t>）。</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4 \* alphabetic </w:instrText>
            </w:r>
            <w:r>
              <w:rPr>
                <w:rFonts w:ascii="Times New Roman" w:hAnsi="Times New Roman" w:eastAsia="仿宋_GB2312"/>
                <w:color w:val="000000"/>
                <w:sz w:val="24"/>
                <w:szCs w:val="24"/>
              </w:rPr>
              <w:fldChar w:fldCharType="separate"/>
            </w:r>
            <w:r>
              <w:rPr>
                <w:rFonts w:ascii="Times New Roman" w:hAnsi="Times New Roman" w:eastAsia="仿宋_GB2312"/>
                <w:color w:val="000000"/>
                <w:sz w:val="24"/>
                <w:szCs w:val="24"/>
              </w:rPr>
              <w:t>d</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、数据录入、报告生成：现场人员将仪器设备所获取的数据记录在原始记录中，回到实验室后，报告编制员根据原始记录编制检验检测报告。最后，审核人员对报告进行复核，复核完成后打印生成正式报告。</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现场检测对环境不产生污染。</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3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③</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化学检测</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化学检测主要是对水、气、土壤、固废等样品的各类无机、有机化学指标进行检测，不同样品的检测操作流程基本一致，主要流程包括试剂</w:t>
            </w:r>
            <w:r>
              <w:rPr>
                <w:rFonts w:hint="eastAsia" w:ascii="Times New Roman" w:hAnsi="Times New Roman" w:eastAsia="仿宋_GB2312"/>
                <w:color w:val="000000"/>
                <w:sz w:val="24"/>
                <w:szCs w:val="24"/>
              </w:rPr>
              <w:t>配制</w:t>
            </w:r>
            <w:r>
              <w:rPr>
                <w:rFonts w:ascii="Times New Roman" w:hAnsi="Times New Roman" w:eastAsia="仿宋_GB2312"/>
                <w:color w:val="000000"/>
                <w:sz w:val="24"/>
                <w:szCs w:val="24"/>
              </w:rPr>
              <w:t>、样品预处理、样品检测、数据处理、仪器清洗，流程图如下：</w:t>
            </w:r>
          </w:p>
          <w:p>
            <w:pPr>
              <w:pStyle w:val="62"/>
              <w:spacing w:line="240" w:lineRule="auto"/>
              <w:ind w:firstLine="0" w:firstLineChars="0"/>
              <w:jc w:val="center"/>
              <w:rPr>
                <w:rFonts w:eastAsia="仿宋_GB2312"/>
                <w:b/>
                <w:bCs/>
                <w:szCs w:val="24"/>
              </w:rPr>
            </w:pPr>
            <w:r>
              <w:rPr>
                <w:rFonts w:eastAsia="仿宋_GB2312"/>
                <w:b/>
                <w:bCs/>
                <w:szCs w:val="24"/>
              </w:rPr>
              <mc:AlternateContent>
                <mc:Choice Requires="wpc">
                  <w:drawing>
                    <wp:inline distT="0" distB="0" distL="0" distR="0">
                      <wp:extent cx="5367020" cy="3220085"/>
                      <wp:effectExtent l="0" t="0" r="0" b="0"/>
                      <wp:docPr id="823" name="画布 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Text Box 824"/>
                              <wps:cNvSpPr txBox="1">
                                <a:spLocks noChangeArrowheads="1"/>
                              </wps:cNvSpPr>
                              <wps:spPr bwMode="auto">
                                <a:xfrm>
                                  <a:off x="2810510" y="67945"/>
                                  <a:ext cx="945515" cy="259080"/>
                                </a:xfrm>
                                <a:prstGeom prst="rect">
                                  <a:avLst/>
                                </a:prstGeom>
                                <a:solidFill>
                                  <a:srgbClr val="FFFFFF"/>
                                </a:solidFill>
                                <a:ln w="9525">
                                  <a:solidFill>
                                    <a:srgbClr val="000000"/>
                                  </a:solidFill>
                                  <a:miter lim="800000"/>
                                </a:ln>
                              </wps:spPr>
                              <wps:txbx>
                                <w:txbxContent>
                                  <w:p>
                                    <w:pPr>
                                      <w:pStyle w:val="253"/>
                                    </w:pPr>
                                    <w:r>
                                      <w:rPr>
                                        <w:rFonts w:hint="eastAsia"/>
                                      </w:rPr>
                                      <w:t>客户委托</w:t>
                                    </w:r>
                                  </w:p>
                                </w:txbxContent>
                              </wps:txbx>
                              <wps:bodyPr rot="0" vert="horz" wrap="square" lIns="91440" tIns="45720" rIns="91440" bIns="45720" anchor="t" anchorCtr="0" upright="1">
                                <a:noAutofit/>
                              </wps:bodyPr>
                            </wps:wsp>
                            <wps:wsp>
                              <wps:cNvPr id="23" name="Text Box 825"/>
                              <wps:cNvSpPr txBox="1">
                                <a:spLocks noChangeArrowheads="1"/>
                              </wps:cNvSpPr>
                              <wps:spPr bwMode="auto">
                                <a:xfrm>
                                  <a:off x="2810510" y="479425"/>
                                  <a:ext cx="945515" cy="259080"/>
                                </a:xfrm>
                                <a:prstGeom prst="rect">
                                  <a:avLst/>
                                </a:prstGeom>
                                <a:solidFill>
                                  <a:srgbClr val="FFFFFF"/>
                                </a:solidFill>
                                <a:ln w="9525">
                                  <a:solidFill>
                                    <a:srgbClr val="000000"/>
                                  </a:solidFill>
                                  <a:miter lim="800000"/>
                                </a:ln>
                              </wps:spPr>
                              <wps:txbx>
                                <w:txbxContent>
                                  <w:p>
                                    <w:pPr>
                                      <w:pStyle w:val="253"/>
                                    </w:pPr>
                                    <w:r>
                                      <w:rPr>
                                        <w:rFonts w:hint="eastAsia"/>
                                      </w:rPr>
                                      <w:t>现场采样</w:t>
                                    </w:r>
                                  </w:p>
                                </w:txbxContent>
                              </wps:txbx>
                              <wps:bodyPr rot="0" vert="horz" wrap="square" lIns="91440" tIns="45720" rIns="91440" bIns="45720" anchor="t" anchorCtr="0" upright="1">
                                <a:noAutofit/>
                              </wps:bodyPr>
                            </wps:wsp>
                            <wps:wsp>
                              <wps:cNvPr id="24" name="Text Box 826"/>
                              <wps:cNvSpPr txBox="1">
                                <a:spLocks noChangeArrowheads="1"/>
                              </wps:cNvSpPr>
                              <wps:spPr bwMode="auto">
                                <a:xfrm>
                                  <a:off x="2810510" y="890905"/>
                                  <a:ext cx="945515" cy="259080"/>
                                </a:xfrm>
                                <a:prstGeom prst="rect">
                                  <a:avLst/>
                                </a:prstGeom>
                                <a:solidFill>
                                  <a:srgbClr val="FFFFFF"/>
                                </a:solidFill>
                                <a:ln w="9525">
                                  <a:solidFill>
                                    <a:srgbClr val="000000"/>
                                  </a:solidFill>
                                  <a:miter lim="800000"/>
                                </a:ln>
                              </wps:spPr>
                              <wps:txbx>
                                <w:txbxContent>
                                  <w:p>
                                    <w:pPr>
                                      <w:pStyle w:val="253"/>
                                    </w:pPr>
                                    <w:r>
                                      <w:rPr>
                                        <w:rFonts w:hint="eastAsia"/>
                                      </w:rPr>
                                      <w:t>样品预处理</w:t>
                                    </w:r>
                                  </w:p>
                                </w:txbxContent>
                              </wps:txbx>
                              <wps:bodyPr rot="0" vert="horz" wrap="square" lIns="91440" tIns="45720" rIns="91440" bIns="45720" anchor="t" anchorCtr="0" upright="1">
                                <a:noAutofit/>
                              </wps:bodyPr>
                            </wps:wsp>
                            <wps:wsp>
                              <wps:cNvPr id="25" name="Text Box 827"/>
                              <wps:cNvSpPr txBox="1">
                                <a:spLocks noChangeArrowheads="1"/>
                              </wps:cNvSpPr>
                              <wps:spPr bwMode="auto">
                                <a:xfrm>
                                  <a:off x="1504950" y="890905"/>
                                  <a:ext cx="945515" cy="259080"/>
                                </a:xfrm>
                                <a:prstGeom prst="rect">
                                  <a:avLst/>
                                </a:prstGeom>
                                <a:solidFill>
                                  <a:srgbClr val="FFFFFF"/>
                                </a:solidFill>
                                <a:ln w="9525">
                                  <a:solidFill>
                                    <a:srgbClr val="000000"/>
                                  </a:solidFill>
                                  <a:miter lim="800000"/>
                                </a:ln>
                              </wps:spPr>
                              <wps:txbx>
                                <w:txbxContent>
                                  <w:p>
                                    <w:pPr>
                                      <w:pStyle w:val="253"/>
                                    </w:pPr>
                                    <w:r>
                                      <w:rPr>
                                        <w:rFonts w:hint="eastAsia"/>
                                      </w:rPr>
                                      <w:t>试剂配制</w:t>
                                    </w:r>
                                  </w:p>
                                </w:txbxContent>
                              </wps:txbx>
                              <wps:bodyPr rot="0" vert="horz" wrap="square" lIns="91440" tIns="45720" rIns="91440" bIns="45720" anchor="t" anchorCtr="0" upright="1">
                                <a:noAutofit/>
                              </wps:bodyPr>
                            </wps:wsp>
                            <wps:wsp>
                              <wps:cNvPr id="26" name="Text Box 828"/>
                              <wps:cNvSpPr txBox="1">
                                <a:spLocks noChangeArrowheads="1"/>
                              </wps:cNvSpPr>
                              <wps:spPr bwMode="auto">
                                <a:xfrm>
                                  <a:off x="113030" y="890905"/>
                                  <a:ext cx="1118235" cy="259080"/>
                                </a:xfrm>
                                <a:prstGeom prst="rect">
                                  <a:avLst/>
                                </a:prstGeom>
                                <a:noFill/>
                                <a:ln>
                                  <a:noFill/>
                                </a:ln>
                              </wps:spPr>
                              <wps:txbx>
                                <w:txbxContent>
                                  <w:p>
                                    <w:pPr>
                                      <w:pStyle w:val="253"/>
                                    </w:pPr>
                                    <w:r>
                                      <w:rPr>
                                        <w:rFonts w:hint="eastAsia"/>
                                      </w:rPr>
                                      <w:t>纯水、各类试剂</w:t>
                                    </w:r>
                                  </w:p>
                                </w:txbxContent>
                              </wps:txbx>
                              <wps:bodyPr rot="0" vert="horz" wrap="square" lIns="91440" tIns="45720" rIns="91440" bIns="45720" anchor="t" anchorCtr="0" upright="1">
                                <a:noAutofit/>
                              </wps:bodyPr>
                            </wps:wsp>
                            <wps:wsp>
                              <wps:cNvPr id="27" name="Text Box 829"/>
                              <wps:cNvSpPr txBox="1">
                                <a:spLocks noChangeArrowheads="1"/>
                              </wps:cNvSpPr>
                              <wps:spPr bwMode="auto">
                                <a:xfrm>
                                  <a:off x="2810510" y="1396365"/>
                                  <a:ext cx="945515" cy="259080"/>
                                </a:xfrm>
                                <a:prstGeom prst="rect">
                                  <a:avLst/>
                                </a:prstGeom>
                                <a:solidFill>
                                  <a:srgbClr val="FFFFFF"/>
                                </a:solidFill>
                                <a:ln w="9525">
                                  <a:solidFill>
                                    <a:srgbClr val="000000"/>
                                  </a:solidFill>
                                  <a:miter lim="800000"/>
                                </a:ln>
                              </wps:spPr>
                              <wps:txbx>
                                <w:txbxContent>
                                  <w:p>
                                    <w:pPr>
                                      <w:pStyle w:val="253"/>
                                    </w:pPr>
                                    <w:r>
                                      <w:rPr>
                                        <w:rFonts w:hint="eastAsia"/>
                                      </w:rPr>
                                      <w:t>样品检测</w:t>
                                    </w:r>
                                  </w:p>
                                </w:txbxContent>
                              </wps:txbx>
                              <wps:bodyPr rot="0" vert="horz" wrap="square" lIns="91440" tIns="45720" rIns="91440" bIns="45720" anchor="t" anchorCtr="0" upright="1">
                                <a:noAutofit/>
                              </wps:bodyPr>
                            </wps:wsp>
                            <wps:wsp>
                              <wps:cNvPr id="28" name="Text Box 830"/>
                              <wps:cNvSpPr txBox="1">
                                <a:spLocks noChangeArrowheads="1"/>
                              </wps:cNvSpPr>
                              <wps:spPr bwMode="auto">
                                <a:xfrm>
                                  <a:off x="2360930" y="2818765"/>
                                  <a:ext cx="1093470" cy="258445"/>
                                </a:xfrm>
                                <a:prstGeom prst="rect">
                                  <a:avLst/>
                                </a:prstGeom>
                                <a:solidFill>
                                  <a:srgbClr val="FFFFFF"/>
                                </a:solidFill>
                                <a:ln w="9525">
                                  <a:solidFill>
                                    <a:srgbClr val="000000"/>
                                  </a:solidFill>
                                  <a:miter lim="800000"/>
                                </a:ln>
                              </wps:spPr>
                              <wps:txbx>
                                <w:txbxContent>
                                  <w:p>
                                    <w:pPr>
                                      <w:pStyle w:val="253"/>
                                    </w:pPr>
                                    <w:r>
                                      <w:rPr>
                                        <w:rFonts w:hint="eastAsia"/>
                                      </w:rPr>
                                      <w:t>仪器/器皿清洗</w:t>
                                    </w:r>
                                  </w:p>
                                </w:txbxContent>
                              </wps:txbx>
                              <wps:bodyPr rot="0" vert="horz" wrap="square" lIns="91440" tIns="45720" rIns="91440" bIns="45720" anchor="t" anchorCtr="0" upright="1">
                                <a:noAutofit/>
                              </wps:bodyPr>
                            </wps:wsp>
                            <wps:wsp>
                              <wps:cNvPr id="29" name="Text Box 831"/>
                              <wps:cNvSpPr txBox="1">
                                <a:spLocks noChangeArrowheads="1"/>
                              </wps:cNvSpPr>
                              <wps:spPr bwMode="auto">
                                <a:xfrm>
                                  <a:off x="3121660" y="1807845"/>
                                  <a:ext cx="778510" cy="440055"/>
                                </a:xfrm>
                                <a:prstGeom prst="rect">
                                  <a:avLst/>
                                </a:prstGeom>
                                <a:solidFill>
                                  <a:srgbClr val="FFFFFF"/>
                                </a:solidFill>
                                <a:ln w="9525">
                                  <a:solidFill>
                                    <a:srgbClr val="000000"/>
                                  </a:solidFill>
                                  <a:miter lim="800000"/>
                                </a:ln>
                              </wps:spPr>
                              <wps:txbx>
                                <w:txbxContent>
                                  <w:p>
                                    <w:pPr>
                                      <w:pStyle w:val="253"/>
                                    </w:pPr>
                                    <w:r>
                                      <w:rPr>
                                        <w:rFonts w:hint="eastAsia"/>
                                      </w:rPr>
                                      <w:t>数据处理</w:t>
                                    </w:r>
                                    <w:r>
                                      <w:t>及审核</w:t>
                                    </w:r>
                                  </w:p>
                                </w:txbxContent>
                              </wps:txbx>
                              <wps:bodyPr rot="0" vert="horz" wrap="square" lIns="91440" tIns="45720" rIns="91440" bIns="45720" anchor="t" anchorCtr="0" upright="1">
                                <a:noAutofit/>
                              </wps:bodyPr>
                            </wps:wsp>
                            <wps:wsp>
                              <wps:cNvPr id="30" name="Text Box 832"/>
                              <wps:cNvSpPr txBox="1">
                                <a:spLocks noChangeArrowheads="1"/>
                              </wps:cNvSpPr>
                              <wps:spPr bwMode="auto">
                                <a:xfrm>
                                  <a:off x="3121660" y="2329180"/>
                                  <a:ext cx="778510" cy="438785"/>
                                </a:xfrm>
                                <a:prstGeom prst="rect">
                                  <a:avLst/>
                                </a:prstGeom>
                                <a:noFill/>
                                <a:ln>
                                  <a:noFill/>
                                </a:ln>
                              </wps:spPr>
                              <wps:txbx>
                                <w:txbxContent>
                                  <w:p>
                                    <w:pPr>
                                      <w:pStyle w:val="253"/>
                                    </w:pPr>
                                    <w:r>
                                      <w:rPr>
                                        <w:rFonts w:hint="eastAsia"/>
                                      </w:rPr>
                                      <w:t>出具检验检测</w:t>
                                    </w:r>
                                    <w:r>
                                      <w:t>报告</w:t>
                                    </w:r>
                                  </w:p>
                                </w:txbxContent>
                              </wps:txbx>
                              <wps:bodyPr rot="0" vert="horz" wrap="square" lIns="91440" tIns="45720" rIns="91440" bIns="45720" anchor="t" anchorCtr="0" upright="1">
                                <a:noAutofit/>
                              </wps:bodyPr>
                            </wps:wsp>
                            <wps:wsp>
                              <wps:cNvPr id="31" name="AutoShape 833"/>
                              <wps:cNvCnPr>
                                <a:cxnSpLocks noChangeShapeType="1"/>
                                <a:stCxn id="22" idx="2"/>
                                <a:endCxn id="23" idx="0"/>
                              </wps:cNvCnPr>
                              <wps:spPr bwMode="auto">
                                <a:xfrm>
                                  <a:off x="3283585" y="327025"/>
                                  <a:ext cx="635" cy="152400"/>
                                </a:xfrm>
                                <a:prstGeom prst="straightConnector1">
                                  <a:avLst/>
                                </a:prstGeom>
                                <a:noFill/>
                                <a:ln w="6350">
                                  <a:solidFill>
                                    <a:srgbClr val="000000"/>
                                  </a:solidFill>
                                  <a:round/>
                                  <a:tailEnd type="triangle" w="med" len="med"/>
                                </a:ln>
                              </wps:spPr>
                              <wps:bodyPr/>
                            </wps:wsp>
                            <wps:wsp>
                              <wps:cNvPr id="32" name="AutoShape 834"/>
                              <wps:cNvCnPr>
                                <a:cxnSpLocks noChangeShapeType="1"/>
                                <a:stCxn id="23" idx="2"/>
                                <a:endCxn id="24" idx="0"/>
                              </wps:cNvCnPr>
                              <wps:spPr bwMode="auto">
                                <a:xfrm>
                                  <a:off x="3283585" y="738505"/>
                                  <a:ext cx="635" cy="152400"/>
                                </a:xfrm>
                                <a:prstGeom prst="straightConnector1">
                                  <a:avLst/>
                                </a:prstGeom>
                                <a:noFill/>
                                <a:ln w="6350">
                                  <a:solidFill>
                                    <a:srgbClr val="000000"/>
                                  </a:solidFill>
                                  <a:round/>
                                  <a:tailEnd type="triangle" w="med" len="med"/>
                                </a:ln>
                              </wps:spPr>
                              <wps:bodyPr/>
                            </wps:wsp>
                            <wps:wsp>
                              <wps:cNvPr id="33" name="AutoShape 835"/>
                              <wps:cNvCnPr>
                                <a:cxnSpLocks noChangeShapeType="1"/>
                                <a:stCxn id="24" idx="2"/>
                                <a:endCxn id="27" idx="0"/>
                              </wps:cNvCnPr>
                              <wps:spPr bwMode="auto">
                                <a:xfrm>
                                  <a:off x="3283585" y="1149985"/>
                                  <a:ext cx="635" cy="246380"/>
                                </a:xfrm>
                                <a:prstGeom prst="straightConnector1">
                                  <a:avLst/>
                                </a:prstGeom>
                                <a:noFill/>
                                <a:ln w="6350">
                                  <a:solidFill>
                                    <a:srgbClr val="000000"/>
                                  </a:solidFill>
                                  <a:round/>
                                  <a:tailEnd type="triangle" w="med" len="med"/>
                                </a:ln>
                              </wps:spPr>
                              <wps:bodyPr/>
                            </wps:wsp>
                            <wps:wsp>
                              <wps:cNvPr id="34" name="AutoShape 836"/>
                              <wps:cNvCnPr>
                                <a:cxnSpLocks noChangeShapeType="1"/>
                                <a:endCxn id="28" idx="0"/>
                              </wps:cNvCnPr>
                              <wps:spPr bwMode="auto">
                                <a:xfrm flipH="1">
                                  <a:off x="2907665" y="1654175"/>
                                  <a:ext cx="635" cy="1164590"/>
                                </a:xfrm>
                                <a:prstGeom prst="straightConnector1">
                                  <a:avLst/>
                                </a:prstGeom>
                                <a:noFill/>
                                <a:ln w="6350">
                                  <a:solidFill>
                                    <a:srgbClr val="000000"/>
                                  </a:solidFill>
                                  <a:round/>
                                  <a:tailEnd type="triangle" w="med" len="med"/>
                                </a:ln>
                              </wps:spPr>
                              <wps:bodyPr/>
                            </wps:wsp>
                            <wps:wsp>
                              <wps:cNvPr id="35" name="AutoShape 837"/>
                              <wps:cNvCnPr>
                                <a:cxnSpLocks noChangeShapeType="1"/>
                              </wps:cNvCnPr>
                              <wps:spPr bwMode="auto">
                                <a:xfrm>
                                  <a:off x="3506470" y="1655445"/>
                                  <a:ext cx="1270" cy="152400"/>
                                </a:xfrm>
                                <a:prstGeom prst="straightConnector1">
                                  <a:avLst/>
                                </a:prstGeom>
                                <a:noFill/>
                                <a:ln w="6350">
                                  <a:solidFill>
                                    <a:srgbClr val="000000"/>
                                  </a:solidFill>
                                  <a:round/>
                                  <a:tailEnd type="triangle" w="med" len="med"/>
                                </a:ln>
                              </wps:spPr>
                              <wps:bodyPr/>
                            </wps:wsp>
                            <wps:wsp>
                              <wps:cNvPr id="36" name="AutoShape 839"/>
                              <wps:cNvCnPr>
                                <a:cxnSpLocks noChangeShapeType="1"/>
                              </wps:cNvCnPr>
                              <wps:spPr bwMode="auto">
                                <a:xfrm>
                                  <a:off x="3516630" y="2252345"/>
                                  <a:ext cx="1270" cy="152400"/>
                                </a:xfrm>
                                <a:prstGeom prst="straightConnector1">
                                  <a:avLst/>
                                </a:prstGeom>
                                <a:noFill/>
                                <a:ln w="6350">
                                  <a:solidFill>
                                    <a:srgbClr val="000000"/>
                                  </a:solidFill>
                                  <a:round/>
                                  <a:tailEnd type="triangle" w="med" len="med"/>
                                </a:ln>
                              </wps:spPr>
                              <wps:bodyPr/>
                            </wps:wsp>
                            <wps:wsp>
                              <wps:cNvPr id="37" name="AutoShape 840"/>
                              <wps:cNvCnPr>
                                <a:cxnSpLocks noChangeShapeType="1"/>
                                <a:stCxn id="26" idx="3"/>
                                <a:endCxn id="25" idx="1"/>
                              </wps:cNvCnPr>
                              <wps:spPr bwMode="auto">
                                <a:xfrm>
                                  <a:off x="1231265" y="1020445"/>
                                  <a:ext cx="273685" cy="635"/>
                                </a:xfrm>
                                <a:prstGeom prst="straightConnector1">
                                  <a:avLst/>
                                </a:prstGeom>
                                <a:noFill/>
                                <a:ln w="6350">
                                  <a:solidFill>
                                    <a:srgbClr val="000000"/>
                                  </a:solidFill>
                                  <a:round/>
                                  <a:tailEnd type="triangle" w="med" len="med"/>
                                </a:ln>
                              </wps:spPr>
                              <wps:bodyPr/>
                            </wps:wsp>
                            <wps:wsp>
                              <wps:cNvPr id="38" name="AutoShape 841"/>
                              <wps:cNvCnPr>
                                <a:cxnSpLocks noChangeShapeType="1"/>
                                <a:stCxn id="25" idx="3"/>
                                <a:endCxn id="24" idx="1"/>
                              </wps:cNvCnPr>
                              <wps:spPr bwMode="auto">
                                <a:xfrm>
                                  <a:off x="2450465" y="1020445"/>
                                  <a:ext cx="360045" cy="635"/>
                                </a:xfrm>
                                <a:prstGeom prst="straightConnector1">
                                  <a:avLst/>
                                </a:prstGeom>
                                <a:noFill/>
                                <a:ln w="6350">
                                  <a:solidFill>
                                    <a:srgbClr val="000000"/>
                                  </a:solidFill>
                                  <a:round/>
                                  <a:tailEnd type="triangle" w="med" len="med"/>
                                </a:ln>
                              </wps:spPr>
                              <wps:bodyPr/>
                            </wps:wsp>
                            <wps:wsp>
                              <wps:cNvPr id="39" name="Text Box 842"/>
                              <wps:cNvSpPr txBox="1">
                                <a:spLocks noChangeArrowheads="1"/>
                              </wps:cNvSpPr>
                              <wps:spPr bwMode="auto">
                                <a:xfrm>
                                  <a:off x="1308764" y="1427641"/>
                                  <a:ext cx="1325254" cy="319273"/>
                                </a:xfrm>
                                <a:prstGeom prst="rect">
                                  <a:avLst/>
                                </a:prstGeom>
                                <a:noFill/>
                                <a:ln>
                                  <a:noFill/>
                                </a:ln>
                              </wps:spPr>
                              <wps:txbx>
                                <w:txbxContent>
                                  <w:p>
                                    <w:pPr>
                                      <w:pStyle w:val="253"/>
                                    </w:pPr>
                                    <w:r>
                                      <w:rPr>
                                        <w:rFonts w:hint="eastAsia"/>
                                      </w:rPr>
                                      <w:t>G</w:t>
                                    </w:r>
                                    <w:r>
                                      <w:t>2</w:t>
                                    </w:r>
                                    <w:r>
                                      <w:rPr>
                                        <w:rFonts w:hint="eastAsia"/>
                                      </w:rPr>
                                      <w:t>-</w:t>
                                    </w:r>
                                    <w:r>
                                      <w:t>1</w:t>
                                    </w:r>
                                    <w:r>
                                      <w:rPr>
                                        <w:rFonts w:hint="eastAsia"/>
                                      </w:rPr>
                                      <w:t>、S</w:t>
                                    </w:r>
                                    <w:r>
                                      <w:t>2</w:t>
                                    </w:r>
                                    <w:r>
                                      <w:rPr>
                                        <w:rFonts w:hint="eastAsia"/>
                                      </w:rPr>
                                      <w:t>-</w:t>
                                    </w:r>
                                    <w:r>
                                      <w:t>1</w:t>
                                    </w:r>
                                    <w:r>
                                      <w:rPr>
                                        <w:rFonts w:hint="eastAsia"/>
                                      </w:rPr>
                                      <w:t>、S</w:t>
                                    </w:r>
                                    <w:r>
                                      <w:t>2</w:t>
                                    </w:r>
                                    <w:r>
                                      <w:rPr>
                                        <w:rFonts w:hint="eastAsia"/>
                                      </w:rPr>
                                      <w:t>-</w:t>
                                    </w:r>
                                    <w:r>
                                      <w:t>2</w:t>
                                    </w:r>
                                  </w:p>
                                </w:txbxContent>
                              </wps:txbx>
                              <wps:bodyPr rot="0" vert="horz" wrap="square" lIns="91440" tIns="45720" rIns="91440" bIns="45720" anchor="t" anchorCtr="0" upright="1">
                                <a:noAutofit/>
                              </wps:bodyPr>
                            </wps:wsp>
                            <wps:wsp>
                              <wps:cNvPr id="40" name="AutoShape 843"/>
                              <wps:cNvCnPr>
                                <a:cxnSpLocks noChangeShapeType="1"/>
                                <a:stCxn id="25" idx="2"/>
                                <a:endCxn id="39" idx="0"/>
                              </wps:cNvCnPr>
                              <wps:spPr bwMode="auto">
                                <a:xfrm flipH="1">
                                  <a:off x="1971391" y="1149985"/>
                                  <a:ext cx="6317" cy="277656"/>
                                </a:xfrm>
                                <a:prstGeom prst="straightConnector1">
                                  <a:avLst/>
                                </a:prstGeom>
                                <a:noFill/>
                                <a:ln w="6350">
                                  <a:solidFill>
                                    <a:srgbClr val="000000"/>
                                  </a:solidFill>
                                  <a:prstDash val="dash"/>
                                  <a:round/>
                                  <a:tailEnd type="triangle" w="med" len="med"/>
                                </a:ln>
                              </wps:spPr>
                              <wps:bodyPr/>
                            </wps:wsp>
                            <wps:wsp>
                              <wps:cNvPr id="41" name="Text Box 844"/>
                              <wps:cNvSpPr txBox="1">
                                <a:spLocks noChangeArrowheads="1"/>
                              </wps:cNvSpPr>
                              <wps:spPr bwMode="auto">
                                <a:xfrm>
                                  <a:off x="4176395" y="890905"/>
                                  <a:ext cx="472440" cy="259080"/>
                                </a:xfrm>
                                <a:prstGeom prst="rect">
                                  <a:avLst/>
                                </a:prstGeom>
                                <a:noFill/>
                                <a:ln>
                                  <a:noFill/>
                                </a:ln>
                              </wps:spPr>
                              <wps:txbx>
                                <w:txbxContent>
                                  <w:p>
                                    <w:pPr>
                                      <w:pStyle w:val="253"/>
                                    </w:pPr>
                                    <w:r>
                                      <w:rPr>
                                        <w:rFonts w:hint="eastAsia"/>
                                      </w:rPr>
                                      <w:t>G</w:t>
                                    </w:r>
                                    <w:r>
                                      <w:t>2</w:t>
                                    </w:r>
                                    <w:r>
                                      <w:rPr>
                                        <w:rFonts w:hint="eastAsia"/>
                                      </w:rPr>
                                      <w:t>-</w:t>
                                    </w:r>
                                    <w:r>
                                      <w:t>2</w:t>
                                    </w:r>
                                  </w:p>
                                </w:txbxContent>
                              </wps:txbx>
                              <wps:bodyPr rot="0" vert="horz" wrap="square" lIns="91440" tIns="45720" rIns="91440" bIns="45720" anchor="t" anchorCtr="0" upright="1">
                                <a:noAutofit/>
                              </wps:bodyPr>
                            </wps:wsp>
                            <wps:wsp>
                              <wps:cNvPr id="42" name="AutoShape 845"/>
                              <wps:cNvCnPr>
                                <a:cxnSpLocks noChangeShapeType="1"/>
                                <a:stCxn id="24" idx="3"/>
                                <a:endCxn id="41" idx="1"/>
                              </wps:cNvCnPr>
                              <wps:spPr bwMode="auto">
                                <a:xfrm>
                                  <a:off x="3756025" y="1020445"/>
                                  <a:ext cx="420370" cy="635"/>
                                </a:xfrm>
                                <a:prstGeom prst="straightConnector1">
                                  <a:avLst/>
                                </a:prstGeom>
                                <a:noFill/>
                                <a:ln w="6350">
                                  <a:solidFill>
                                    <a:srgbClr val="000000"/>
                                  </a:solidFill>
                                  <a:prstDash val="dash"/>
                                  <a:round/>
                                  <a:tailEnd type="triangle" w="med" len="med"/>
                                </a:ln>
                              </wps:spPr>
                              <wps:bodyPr/>
                            </wps:wsp>
                            <wps:wsp>
                              <wps:cNvPr id="43" name="Text Box 846"/>
                              <wps:cNvSpPr txBox="1">
                                <a:spLocks noChangeArrowheads="1"/>
                              </wps:cNvSpPr>
                              <wps:spPr bwMode="auto">
                                <a:xfrm>
                                  <a:off x="4252595" y="1395095"/>
                                  <a:ext cx="1114425" cy="259080"/>
                                </a:xfrm>
                                <a:prstGeom prst="rect">
                                  <a:avLst/>
                                </a:prstGeom>
                                <a:noFill/>
                                <a:ln>
                                  <a:noFill/>
                                </a:ln>
                              </wps:spPr>
                              <wps:txbx>
                                <w:txbxContent>
                                  <w:p>
                                    <w:pPr>
                                      <w:pStyle w:val="253"/>
                                    </w:pPr>
                                    <w:r>
                                      <w:rPr>
                                        <w:rFonts w:hint="eastAsia"/>
                                      </w:rPr>
                                      <w:t>G</w:t>
                                    </w:r>
                                    <w:r>
                                      <w:t>2</w:t>
                                    </w:r>
                                    <w:r>
                                      <w:rPr>
                                        <w:rFonts w:hint="eastAsia"/>
                                      </w:rPr>
                                      <w:t>-</w:t>
                                    </w:r>
                                    <w:r>
                                      <w:t>3</w:t>
                                    </w:r>
                                    <w:r>
                                      <w:rPr>
                                        <w:rFonts w:hint="eastAsia"/>
                                      </w:rPr>
                                      <w:t>、S</w:t>
                                    </w:r>
                                    <w:r>
                                      <w:t>2</w:t>
                                    </w:r>
                                    <w:r>
                                      <w:rPr>
                                        <w:rFonts w:hint="eastAsia"/>
                                      </w:rPr>
                                      <w:t>-</w:t>
                                    </w:r>
                                    <w:r>
                                      <w:t>3</w:t>
                                    </w:r>
                                    <w:r>
                                      <w:rPr>
                                        <w:rFonts w:hint="eastAsia"/>
                                      </w:rPr>
                                      <w:t>、S</w:t>
                                    </w:r>
                                    <w:r>
                                      <w:t>2</w:t>
                                    </w:r>
                                    <w:r>
                                      <w:rPr>
                                        <w:rFonts w:hint="eastAsia"/>
                                      </w:rPr>
                                      <w:t>-</w:t>
                                    </w:r>
                                    <w:r>
                                      <w:t>4</w:t>
                                    </w:r>
                                  </w:p>
                                </w:txbxContent>
                              </wps:txbx>
                              <wps:bodyPr rot="0" vert="horz" wrap="square" lIns="91440" tIns="45720" rIns="91440" bIns="45720" anchor="t" anchorCtr="0" upright="1">
                                <a:noAutofit/>
                              </wps:bodyPr>
                            </wps:wsp>
                            <wps:wsp>
                              <wps:cNvPr id="44" name="AutoShape 847"/>
                              <wps:cNvCnPr>
                                <a:cxnSpLocks noChangeShapeType="1"/>
                                <a:stCxn id="27" idx="3"/>
                                <a:endCxn id="43" idx="1"/>
                              </wps:cNvCnPr>
                              <wps:spPr bwMode="auto">
                                <a:xfrm flipV="1">
                                  <a:off x="3756025" y="1524635"/>
                                  <a:ext cx="496570" cy="1270"/>
                                </a:xfrm>
                                <a:prstGeom prst="straightConnector1">
                                  <a:avLst/>
                                </a:prstGeom>
                                <a:noFill/>
                                <a:ln w="6350">
                                  <a:solidFill>
                                    <a:srgbClr val="000000"/>
                                  </a:solidFill>
                                  <a:prstDash val="dash"/>
                                  <a:round/>
                                  <a:tailEnd type="triangle" w="med" len="med"/>
                                </a:ln>
                              </wps:spPr>
                              <wps:bodyPr/>
                            </wps:wsp>
                            <wps:wsp>
                              <wps:cNvPr id="45" name="Text Box 848"/>
                              <wps:cNvSpPr txBox="1">
                                <a:spLocks noChangeArrowheads="1"/>
                              </wps:cNvSpPr>
                              <wps:spPr bwMode="auto">
                                <a:xfrm>
                                  <a:off x="3702249" y="2804616"/>
                                  <a:ext cx="1548765" cy="285816"/>
                                </a:xfrm>
                                <a:prstGeom prst="rect">
                                  <a:avLst/>
                                </a:prstGeom>
                                <a:noFill/>
                                <a:ln>
                                  <a:noFill/>
                                </a:ln>
                              </wps:spPr>
                              <wps:txbx>
                                <w:txbxContent>
                                  <w:p>
                                    <w:pPr>
                                      <w:pStyle w:val="253"/>
                                    </w:pPr>
                                    <w:r>
                                      <w:rPr>
                                        <w:rFonts w:hint="eastAsia"/>
                                      </w:rPr>
                                      <w:t>W</w:t>
                                    </w:r>
                                    <w:r>
                                      <w:t>2</w:t>
                                    </w:r>
                                    <w:r>
                                      <w:rPr>
                                        <w:rFonts w:hint="eastAsia"/>
                                      </w:rPr>
                                      <w:t>-</w:t>
                                    </w:r>
                                    <w:r>
                                      <w:t>1</w:t>
                                    </w:r>
                                    <w:r>
                                      <w:rPr>
                                        <w:rFonts w:hint="eastAsia"/>
                                      </w:rPr>
                                      <w:t>、</w:t>
                                    </w:r>
                                    <w:r>
                                      <w:t>S2</w:t>
                                    </w:r>
                                    <w:r>
                                      <w:rPr>
                                        <w:rFonts w:hint="eastAsia"/>
                                      </w:rPr>
                                      <w:t>-</w:t>
                                    </w:r>
                                    <w:r>
                                      <w:t>5</w:t>
                                    </w:r>
                                    <w:r>
                                      <w:rPr>
                                        <w:rFonts w:hint="eastAsia"/>
                                      </w:rPr>
                                      <w:t>、S2-6</w:t>
                                    </w:r>
                                  </w:p>
                                </w:txbxContent>
                              </wps:txbx>
                              <wps:bodyPr rot="0" vert="horz" wrap="square" lIns="91440" tIns="45720" rIns="91440" bIns="45720" anchor="t" anchorCtr="0" upright="1">
                                <a:noAutofit/>
                              </wps:bodyPr>
                            </wps:wsp>
                            <wps:wsp>
                              <wps:cNvPr id="46" name="AutoShape 849"/>
                              <wps:cNvCnPr>
                                <a:cxnSpLocks noChangeShapeType="1"/>
                                <a:stCxn id="28" idx="3"/>
                                <a:endCxn id="45" idx="1"/>
                              </wps:cNvCnPr>
                              <wps:spPr bwMode="auto">
                                <a:xfrm flipV="1">
                                  <a:off x="3454400" y="2947524"/>
                                  <a:ext cx="247849" cy="464"/>
                                </a:xfrm>
                                <a:prstGeom prst="straightConnector1">
                                  <a:avLst/>
                                </a:prstGeom>
                                <a:noFill/>
                                <a:ln w="6350">
                                  <a:solidFill>
                                    <a:srgbClr val="000000"/>
                                  </a:solidFill>
                                  <a:prstDash val="dash"/>
                                  <a:round/>
                                  <a:tailEnd type="triangle" w="med" len="med"/>
                                </a:ln>
                              </wps:spPr>
                              <wps:bodyPr/>
                            </wps:wsp>
                            <wps:wsp>
                              <wps:cNvPr id="47" name="Text Box 850"/>
                              <wps:cNvSpPr txBox="1">
                                <a:spLocks noChangeArrowheads="1"/>
                              </wps:cNvSpPr>
                              <wps:spPr bwMode="auto">
                                <a:xfrm>
                                  <a:off x="113030" y="2261870"/>
                                  <a:ext cx="997585" cy="899160"/>
                                </a:xfrm>
                                <a:prstGeom prst="rect">
                                  <a:avLst/>
                                </a:prstGeom>
                                <a:noFill/>
                                <a:ln>
                                  <a:noFill/>
                                </a:ln>
                              </wps:spPr>
                              <wps:txbx>
                                <w:txbxContent>
                                  <w:p>
                                    <w:pPr>
                                      <w:pStyle w:val="253"/>
                                    </w:pPr>
                                    <w:r>
                                      <w:rPr>
                                        <w:rFonts w:hint="eastAsia"/>
                                      </w:rPr>
                                      <w:t>图 例</w:t>
                                    </w:r>
                                  </w:p>
                                  <w:p>
                                    <w:pPr>
                                      <w:pStyle w:val="253"/>
                                    </w:pPr>
                                    <w:r>
                                      <w:rPr>
                                        <w:rFonts w:hint="eastAsia"/>
                                      </w:rPr>
                                      <w:t>S：固废</w:t>
                                    </w:r>
                                  </w:p>
                                  <w:p>
                                    <w:pPr>
                                      <w:pStyle w:val="253"/>
                                    </w:pPr>
                                    <w:r>
                                      <w:rPr>
                                        <w:rFonts w:hint="eastAsia"/>
                                      </w:rPr>
                                      <w:t>W：废水</w:t>
                                    </w:r>
                                  </w:p>
                                  <w:p>
                                    <w:pPr>
                                      <w:pStyle w:val="253"/>
                                    </w:pPr>
                                    <w:r>
                                      <w:rPr>
                                        <w:rFonts w:hint="eastAsia"/>
                                      </w:rPr>
                                      <w:t>G：废气</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53.55pt;width:422.6pt;" coordsize="5367020,3220085" editas="canvas" o:gfxdata="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xgELV1wAAAAUBAAAPAAAAAAAAAAEAIAAAACIAAABkcnMvZG93&#10;bnJldi54bWxQSwECFAAUAAAACACHTuJASYuYMpIHAABAQQAADgAAAAAAAAABACAAAAAmAQAAZHJz&#10;L2Uyb0RvYy54bWxQSwUGAAAAAAYABgBZAQAAKgsAAAAA&#10;">
                      <o:lock v:ext="edit" aspectratio="f"/>
                      <v:shape id="_x0000_s1026" o:spid="_x0000_s1026" style="position:absolute;left:0;top:0;height:3220085;width:5367020;" filled="f" stroked="f" coordsize="21600,21600" o:gfxdata="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Dx&#10;gELV1wAAAAUBAAAPAAAAAAAAAAEAIAAAACIAAABkcnMvZG93bnJldi54bWxQSwECFAAUAAAACACH&#10;TuJAa23vNUQHAAC5QAAADgAAAAAAAAABACAAAAAmAQAAZHJzL2Uyb0RvYy54bWxQSwUGAAAAAAYA&#10;BgBZAQAA3AoAAAAA&#10;">
                        <v:fill on="f" focussize="0,0"/>
                        <v:stroke on="f"/>
                        <v:imagedata o:title=""/>
                        <o:lock v:ext="edit" aspectratio="t"/>
                      </v:shape>
                      <v:shape id="Text Box 824" o:spid="_x0000_s1026" o:spt="202" type="#_x0000_t202" style="position:absolute;left:2810510;top:67945;height:259080;width:945515;"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mxnqtcAAAAFAQAADwAAAAAAAAABACAAAAAiAAAAZHJzL2Rv&#10;d25yZXYueG1sUEsBAhQAFAAAAAgAh07iQFPriqs7AgAAkgQAAA4AAAAAAAAAAQAgAAAAJgEAAGRy&#10;cy9lMm9Eb2MueG1sUEsFBgAAAAAGAAYAWQEAANMFAAAAAA==&#10;">
                        <v:fill on="t" focussize="0,0"/>
                        <v:stroke color="#000000" miterlimit="8" joinstyle="miter"/>
                        <v:imagedata o:title=""/>
                        <o:lock v:ext="edit" aspectratio="f"/>
                        <v:textbox>
                          <w:txbxContent>
                            <w:p>
                              <w:pPr>
                                <w:pStyle w:val="253"/>
                              </w:pPr>
                              <w:r>
                                <w:rPr>
                                  <w:rFonts w:hint="eastAsia"/>
                                </w:rPr>
                                <w:t>客户委托</w:t>
                              </w:r>
                            </w:p>
                          </w:txbxContent>
                        </v:textbox>
                      </v:shape>
                      <v:shape id="Text Box 825" o:spid="_x0000_s1026" o:spt="202" type="#_x0000_t202" style="position:absolute;left:2810510;top:479425;height:259080;width:945515;"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mxnqtcAAAAFAQAADwAAAAAAAAABACAAAAAiAAAAZHJzL2Rv&#10;d25yZXYueG1sUEsBAhQAFAAAAAgAh07iQM+qzYM7AgAAkwQAAA4AAAAAAAAAAQAgAAAAJgEAAGRy&#10;cy9lMm9Eb2MueG1sUEsFBgAAAAAGAAYAWQEAANMFAAAAAA==&#10;">
                        <v:fill on="t" focussize="0,0"/>
                        <v:stroke color="#000000" miterlimit="8" joinstyle="miter"/>
                        <v:imagedata o:title=""/>
                        <o:lock v:ext="edit" aspectratio="f"/>
                        <v:textbox>
                          <w:txbxContent>
                            <w:p>
                              <w:pPr>
                                <w:pStyle w:val="253"/>
                              </w:pPr>
                              <w:r>
                                <w:rPr>
                                  <w:rFonts w:hint="eastAsia"/>
                                </w:rPr>
                                <w:t>现场采样</w:t>
                              </w:r>
                            </w:p>
                          </w:txbxContent>
                        </v:textbox>
                      </v:shape>
                      <v:shape id="Text Box 826" o:spid="_x0000_s1026" o:spt="202" type="#_x0000_t202" style="position:absolute;left:2810510;top:890905;height:259080;width:945515;"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5sZ6rXAAAABQEAAA8AAAAAAAAAAQAgAAAAIgAAAGRycy9k&#10;b3ducmV2LnhtbFBLAQIUABQAAAAIAIdO4kDGXpIMPAIAAJMEAAAOAAAAAAAAAAEAIAAAACYBAABk&#10;cnMvZTJvRG9jLnhtbFBLBQYAAAAABgAGAFkBAADUBQAAAAA=&#10;">
                        <v:fill on="t" focussize="0,0"/>
                        <v:stroke color="#000000" miterlimit="8" joinstyle="miter"/>
                        <v:imagedata o:title=""/>
                        <o:lock v:ext="edit" aspectratio="f"/>
                        <v:textbox>
                          <w:txbxContent>
                            <w:p>
                              <w:pPr>
                                <w:pStyle w:val="253"/>
                              </w:pPr>
                              <w:r>
                                <w:rPr>
                                  <w:rFonts w:hint="eastAsia"/>
                                </w:rPr>
                                <w:t>样品预处理</w:t>
                              </w:r>
                            </w:p>
                          </w:txbxContent>
                        </v:textbox>
                      </v:shape>
                      <v:shape id="Text Box 827" o:spid="_x0000_s1026" o:spt="202" type="#_x0000_t202" style="position:absolute;left:1504950;top:890905;height:259080;width:945515;"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5sZ6rXAAAABQEAAA8AAAAAAAAAAQAgAAAAIgAAAGRycy9kb3du&#10;cmV2LnhtbFBLAQIUABQAAAAIAIdO4kAxq69dOQIAAJMEAAAOAAAAAAAAAAEAIAAAACYBAABkcnMv&#10;ZTJvRG9jLnhtbFBLBQYAAAAABgAGAFkBAADRBQAAAAA=&#10;">
                        <v:fill on="t" focussize="0,0"/>
                        <v:stroke color="#000000" miterlimit="8" joinstyle="miter"/>
                        <v:imagedata o:title=""/>
                        <o:lock v:ext="edit" aspectratio="f"/>
                        <v:textbox>
                          <w:txbxContent>
                            <w:p>
                              <w:pPr>
                                <w:pStyle w:val="253"/>
                              </w:pPr>
                              <w:r>
                                <w:rPr>
                                  <w:rFonts w:hint="eastAsia"/>
                                </w:rPr>
                                <w:t>试剂配制</w:t>
                              </w:r>
                            </w:p>
                          </w:txbxContent>
                        </v:textbox>
                      </v:shape>
                      <v:shape id="Text Box 828" o:spid="_x0000_s1026" o:spt="202" type="#_x0000_t202" style="position:absolute;left:113030;top:890905;height:259080;width:1118235;"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fOxfTAAAABQEAAA8AAAAAAAAAAQAg&#10;AAAAIgAAAGRycy9kb3ducmV2LnhtbFBLAQIUABQAAAAIAIdO4kBKVZSREwIAACEEAAAOAAAAAAAA&#10;AAEAIAAAACIBAABkcnMvZTJvRG9jLnhtbFBLBQYAAAAABgAGAFkBAACnBQAAAAA=&#10;">
                        <v:fill on="f" focussize="0,0"/>
                        <v:stroke on="f"/>
                        <v:imagedata o:title=""/>
                        <o:lock v:ext="edit" aspectratio="f"/>
                        <v:textbox>
                          <w:txbxContent>
                            <w:p>
                              <w:pPr>
                                <w:pStyle w:val="253"/>
                              </w:pPr>
                              <w:r>
                                <w:rPr>
                                  <w:rFonts w:hint="eastAsia"/>
                                </w:rPr>
                                <w:t>纯水、各类试剂</w:t>
                              </w:r>
                            </w:p>
                          </w:txbxContent>
                        </v:textbox>
                      </v:shape>
                      <v:shape id="Text Box 829" o:spid="_x0000_s1026" o:spt="202" type="#_x0000_t202" style="position:absolute;left:2810510;top:1396365;height:259080;width:945515;"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mxnqtcAAAAFAQAADwAAAAAAAAABACAAAAAiAAAAZHJz&#10;L2Rvd25yZXYueG1sUEsBAhQAFAAAAAgAh07iQN0HEf4+AgAAlAQAAA4AAAAAAAAAAQAgAAAAJgEA&#10;AGRycy9lMm9Eb2MueG1sUEsFBgAAAAAGAAYAWQEAANYFAAAAAA==&#10;">
                        <v:fill on="t" focussize="0,0"/>
                        <v:stroke color="#000000" miterlimit="8" joinstyle="miter"/>
                        <v:imagedata o:title=""/>
                        <o:lock v:ext="edit" aspectratio="f"/>
                        <v:textbox>
                          <w:txbxContent>
                            <w:p>
                              <w:pPr>
                                <w:pStyle w:val="253"/>
                              </w:pPr>
                              <w:r>
                                <w:rPr>
                                  <w:rFonts w:hint="eastAsia"/>
                                </w:rPr>
                                <w:t>样品检测</w:t>
                              </w:r>
                            </w:p>
                          </w:txbxContent>
                        </v:textbox>
                      </v:shape>
                      <v:shape id="Text Box 830" o:spid="_x0000_s1026" o:spt="202" type="#_x0000_t202" style="position:absolute;left:2360930;top:2818765;height:258445;width:1093470;"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5sZ6rXAAAABQEAAA8AAAAAAAAAAQAgAAAAIgAAAGRycy9k&#10;b3ducmV2LnhtbFBLAQIUABQAAAAIAIdO4kDd0FP/PAIAAJUEAAAOAAAAAAAAAAEAIAAAACYBAABk&#10;cnMvZTJvRG9jLnhtbFBLBQYAAAAABgAGAFkBAADUBQAAAAA=&#10;">
                        <v:fill on="t" focussize="0,0"/>
                        <v:stroke color="#000000" miterlimit="8" joinstyle="miter"/>
                        <v:imagedata o:title=""/>
                        <o:lock v:ext="edit" aspectratio="f"/>
                        <v:textbox>
                          <w:txbxContent>
                            <w:p>
                              <w:pPr>
                                <w:pStyle w:val="253"/>
                              </w:pPr>
                              <w:r>
                                <w:rPr>
                                  <w:rFonts w:hint="eastAsia"/>
                                </w:rPr>
                                <w:t>仪器/器皿清洗</w:t>
                              </w:r>
                            </w:p>
                          </w:txbxContent>
                        </v:textbox>
                      </v:shape>
                      <v:shape id="Text Box 831" o:spid="_x0000_s1026" o:spt="202" type="#_x0000_t202" style="position:absolute;left:3121660;top:1807845;height:440055;width:778510;" fillcolor="#FFFFFF" filled="t" stroked="t" coordsize="21600,21600" o:gfxdata="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&#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bGeq1wAAAAUBAAAPAAAAAAAAAAEAIAAAACIAAABk&#10;cnMvZG93bnJldi54bWxQSwECFAAUAAAACACHTuJARNhLzEACAACUBAAADgAAAAAAAAABACAAAAAm&#10;AQAAZHJzL2Uyb0RvYy54bWxQSwUGAAAAAAYABgBZAQAA2AUAAAAA&#10;">
                        <v:fill on="t" focussize="0,0"/>
                        <v:stroke color="#000000" miterlimit="8" joinstyle="miter"/>
                        <v:imagedata o:title=""/>
                        <o:lock v:ext="edit" aspectratio="f"/>
                        <v:textbox>
                          <w:txbxContent>
                            <w:p>
                              <w:pPr>
                                <w:pStyle w:val="253"/>
                              </w:pPr>
                              <w:r>
                                <w:rPr>
                                  <w:rFonts w:hint="eastAsia"/>
                                </w:rPr>
                                <w:t>数据处理</w:t>
                              </w:r>
                              <w:r>
                                <w:t>及审核</w:t>
                              </w:r>
                            </w:p>
                          </w:txbxContent>
                        </v:textbox>
                      </v:shape>
                      <v:shape id="Text Box 832" o:spid="_x0000_s1026" o:spt="202" type="#_x0000_t202" style="position:absolute;left:3121660;top:2329180;height:438785;width:778510;"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fOxfTAAAABQEAAA8AAAAAAAAAAQAg&#10;AAAAIgAAAGRycy9kb3ducmV2LnhtbFBLAQIUABQAAAAIAIdO4kCPTtHkEwIAACIEAAAOAAAAAAAA&#10;AAEAIAAAACIBAABkcnMvZTJvRG9jLnhtbFBLBQYAAAAABgAGAFkBAACnBQAAAAA=&#10;">
                        <v:fill on="f" focussize="0,0"/>
                        <v:stroke on="f"/>
                        <v:imagedata o:title=""/>
                        <o:lock v:ext="edit" aspectratio="f"/>
                        <v:textbox>
                          <w:txbxContent>
                            <w:p>
                              <w:pPr>
                                <w:pStyle w:val="253"/>
                              </w:pPr>
                              <w:r>
                                <w:rPr>
                                  <w:rFonts w:hint="eastAsia"/>
                                </w:rPr>
                                <w:t>出具检验检测</w:t>
                              </w:r>
                              <w:r>
                                <w:t>报告</w:t>
                              </w:r>
                            </w:p>
                          </w:txbxContent>
                        </v:textbox>
                      </v:shape>
                      <v:shape id="AutoShape 833" o:spid="_x0000_s1026" o:spt="32" type="#_x0000_t32" style="position:absolute;left:3283585;top:327025;height:152400;width:635;"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A9ELVAAAABQEAAA8AAAAAAAAAAQAg&#10;AAAAIgAAAGRycy9kb3ducmV2LnhtbFBLAQIUABQAAAAIAIdO4kAKwGFKEQIAACQEAAAOAAAAAAAA&#10;AAEAIAAAACQBAABkcnMvZTJvRG9jLnhtbFBLBQYAAAAABgAGAFkBAACnBQAAAAA=&#10;">
                        <v:fill on="f" focussize="0,0"/>
                        <v:stroke weight="0.5pt" color="#000000" joinstyle="round" endarrow="block"/>
                        <v:imagedata o:title=""/>
                        <o:lock v:ext="edit" aspectratio="f"/>
                      </v:shape>
                      <v:shape id="AutoShape 834" o:spid="_x0000_s1026" o:spt="32" type="#_x0000_t32" style="position:absolute;left:3283585;top:738505;height:152400;width:635;"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D0QtUAAAAFAQAADwAAAAAAAAAB&#10;ACAAAAAiAAAAZHJzL2Rvd25yZXYueG1sUEsBAhQAFAAAAAgAh07iQBX7AmETAgAAJAQAAA4AAAAA&#10;AAAAAQAgAAAAJAEAAGRycy9lMm9Eb2MueG1sUEsFBgAAAAAGAAYAWQEAAKkFAAAAAA==&#10;">
                        <v:fill on="f" focussize="0,0"/>
                        <v:stroke weight="0.5pt" color="#000000" joinstyle="round" endarrow="block"/>
                        <v:imagedata o:title=""/>
                        <o:lock v:ext="edit" aspectratio="f"/>
                      </v:shape>
                      <v:shape id="AutoShape 835" o:spid="_x0000_s1026" o:spt="32" type="#_x0000_t32" style="position:absolute;left:3283585;top:1149985;height:246380;width:635;"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D0QtUAAAAFAQAADwAAAAAAAAAB&#10;ACAAAAAiAAAAZHJzL2Rvd25yZXYueG1sUEsBAhQAFAAAAAgAh07iQFoxetATAgAAJQQAAA4AAAAA&#10;AAAAAQAgAAAAJAEAAGRycy9lMm9Eb2MueG1sUEsFBgAAAAAGAAYAWQEAAKkFAAAAAA==&#10;">
                        <v:fill on="f" focussize="0,0"/>
                        <v:stroke weight="0.5pt" color="#000000" joinstyle="round" endarrow="block"/>
                        <v:imagedata o:title=""/>
                        <o:lock v:ext="edit" aspectratio="f"/>
                      </v:shape>
                      <v:shape id="AutoShape 836" o:spid="_x0000_s1026" o:spt="32" type="#_x0000_t32" style="position:absolute;left:2907665;top:1654175;flip:x;height:1164590;width:635;" filled="f" stroked="t" coordsize="21600,21600" o:gfxdata="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jeuB1AAAAAUBAAAPAAAAAAAAAAEA&#10;IAAAACIAAABkcnMvZG93bnJldi54bWxQSwECFAAUAAAACACHTuJAx/9WWxMCAAAWBAAADgAAAAAA&#10;AAABACAAAAAjAQAAZHJzL2Uyb0RvYy54bWxQSwUGAAAAAAYABgBZAQAAqAUAAAAA&#10;">
                        <v:fill on="f" focussize="0,0"/>
                        <v:stroke weight="0.5pt" color="#000000" joinstyle="round" endarrow="block"/>
                        <v:imagedata o:title=""/>
                        <o:lock v:ext="edit" aspectratio="f"/>
                      </v:shape>
                      <v:shape id="AutoShape 837" o:spid="_x0000_s1026" o:spt="32" type="#_x0000_t32" style="position:absolute;left:3506470;top:1655445;height:152400;width:1270;"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UA9ELVAAAABQEAAA8AAAAAAAAAAQAgAAAAIgAAAGRycy9kb3ducmV2&#10;LnhtbFBLAQIUABQAAAAIAIdO4kBBFCQr/wEAAPEDAAAOAAAAAAAAAAEAIAAAACQBAABkcnMvZTJv&#10;RG9jLnhtbFBLBQYAAAAABgAGAFkBAACVBQAAAAA=&#10;">
                        <v:fill on="f" focussize="0,0"/>
                        <v:stroke weight="0.5pt" color="#000000" joinstyle="round" endarrow="block"/>
                        <v:imagedata o:title=""/>
                        <o:lock v:ext="edit" aspectratio="f"/>
                      </v:shape>
                      <v:shape id="AutoShape 839" o:spid="_x0000_s1026" o:spt="32" type="#_x0000_t32" style="position:absolute;left:3516630;top:2252345;height:152400;width:1270;"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APRC1QAAAAUBAAAPAAAAAAAAAAEAIAAAACIAAABkcnMvZG93&#10;bnJldi54bWxQSwECFAAUAAAACACHTuJAkPUWPwMCAADxAwAADgAAAAAAAAABACAAAAAkAQAAZHJz&#10;L2Uyb0RvYy54bWxQSwUGAAAAAAYABgBZAQAAmQUAAAAA&#10;">
                        <v:fill on="f" focussize="0,0"/>
                        <v:stroke weight="0.5pt" color="#000000" joinstyle="round" endarrow="block"/>
                        <v:imagedata o:title=""/>
                        <o:lock v:ext="edit" aspectratio="f"/>
                      </v:shape>
                      <v:shape id="AutoShape 840" o:spid="_x0000_s1026" o:spt="32" type="#_x0000_t32" style="position:absolute;left:1231265;top:1020445;height:635;width:273685;"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D0QtUAAAAFAQAADwAAAAAAAAAB&#10;ACAAAAAiAAAAZHJzL2Rvd25yZXYueG1sUEsBAhQAFAAAAAgAh07iQJ37O4gTAgAAJQQAAA4AAAAA&#10;AAAAAQAgAAAAJAEAAGRycy9lMm9Eb2MueG1sUEsFBgAAAAAGAAYAWQEAAKkFAAAAAA==&#10;">
                        <v:fill on="f" focussize="0,0"/>
                        <v:stroke weight="0.5pt" color="#000000" joinstyle="round" endarrow="block"/>
                        <v:imagedata o:title=""/>
                        <o:lock v:ext="edit" aspectratio="f"/>
                      </v:shape>
                      <v:shape id="AutoShape 841" o:spid="_x0000_s1026" o:spt="32" type="#_x0000_t32" style="position:absolute;left:2450465;top:1020445;height:635;width:360045;" filled="f" stroked="t" coordsize="21600,21600" o:gfxdata="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A9ELVAAAABQEAAA8AAAAAAAAAAQAg&#10;AAAAIgAAAGRycy9kb3ducmV2LnhtbFBLAQIUABQAAAAIAIdO4kDpeHDhEQIAACUEAAAOAAAAAAAA&#10;AAEAIAAAACQBAABkcnMvZTJvRG9jLnhtbFBLBQYAAAAABgAGAFkBAACnBQAAAAA=&#10;">
                        <v:fill on="f" focussize="0,0"/>
                        <v:stroke weight="0.5pt" color="#000000" joinstyle="round" endarrow="block"/>
                        <v:imagedata o:title=""/>
                        <o:lock v:ext="edit" aspectratio="f"/>
                      </v:shape>
                      <v:shape id="Text Box 842" o:spid="_x0000_s1026" o:spt="202" type="#_x0000_t202" style="position:absolute;left:1308764;top:1427641;height:319273;width:1325254;"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V87F9MAAAAFAQAADwAAAAAAAAABACAA&#10;AAAiAAAAZHJzL2Rvd25yZXYueG1sUEsBAhQAFAAAAAgAh07iQNCIFh4SAgAAIwQAAA4AAAAAAAAA&#10;AQAgAAAAIgEAAGRycy9lMm9Eb2MueG1sUEsFBgAAAAAGAAYAWQEAAKYFAAAAAA==&#10;">
                        <v:fill on="f" focussize="0,0"/>
                        <v:stroke on="f"/>
                        <v:imagedata o:title=""/>
                        <o:lock v:ext="edit" aspectratio="f"/>
                        <v:textbox>
                          <w:txbxContent>
                            <w:p>
                              <w:pPr>
                                <w:pStyle w:val="253"/>
                              </w:pPr>
                              <w:r>
                                <w:rPr>
                                  <w:rFonts w:hint="eastAsia"/>
                                </w:rPr>
                                <w:t>G</w:t>
                              </w:r>
                              <w:r>
                                <w:t>2</w:t>
                              </w:r>
                              <w:r>
                                <w:rPr>
                                  <w:rFonts w:hint="eastAsia"/>
                                </w:rPr>
                                <w:t>-</w:t>
                              </w:r>
                              <w:r>
                                <w:t>1</w:t>
                              </w:r>
                              <w:r>
                                <w:rPr>
                                  <w:rFonts w:hint="eastAsia"/>
                                </w:rPr>
                                <w:t>、S</w:t>
                              </w:r>
                              <w:r>
                                <w:t>2</w:t>
                              </w:r>
                              <w:r>
                                <w:rPr>
                                  <w:rFonts w:hint="eastAsia"/>
                                </w:rPr>
                                <w:t>-</w:t>
                              </w:r>
                              <w:r>
                                <w:t>1</w:t>
                              </w:r>
                              <w:r>
                                <w:rPr>
                                  <w:rFonts w:hint="eastAsia"/>
                                </w:rPr>
                                <w:t>、S</w:t>
                              </w:r>
                              <w:r>
                                <w:t>2</w:t>
                              </w:r>
                              <w:r>
                                <w:rPr>
                                  <w:rFonts w:hint="eastAsia"/>
                                </w:rPr>
                                <w:t>-</w:t>
                              </w:r>
                              <w:r>
                                <w:t>2</w:t>
                              </w:r>
                            </w:p>
                          </w:txbxContent>
                        </v:textbox>
                      </v:shape>
                      <v:shape id="AutoShape 843" o:spid="_x0000_s1026" o:spt="32" type="#_x0000_t32" style="position:absolute;left:1971391;top:1149985;flip:x;height:277656;width:6317;" filled="f" stroked="t" coordsize="21600,21600" o:gfxdata="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Sin6jVAAAABQEAAA8AAAAAAAAAAQAgAAAAIgAAAGRycy9kb3ducmV2LnhtbFBLAQIUABQAAAAI&#10;AIdO4kBDfkEpKQIAAEgEAAAOAAAAAAAAAAEAIAAAACQBAABkcnMvZTJvRG9jLnhtbFBLBQYAAAAA&#10;BgAGAFkBAAC/BQAAAAA=&#10;">
                        <v:fill on="f" focussize="0,0"/>
                        <v:stroke weight="0.5pt" color="#000000" joinstyle="round" dashstyle="dash" endarrow="block"/>
                        <v:imagedata o:title=""/>
                        <o:lock v:ext="edit" aspectratio="f"/>
                      </v:shape>
                      <v:shape id="Text Box 844" o:spid="_x0000_s1026" o:spt="202" type="#_x0000_t202" style="position:absolute;left:4176395;top:890905;height:259080;width:472440;"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XzsX0wAAAAUBAAAPAAAAAAAAAAEA&#10;IAAAACIAAABkcnMvZG93bnJldi54bWxQSwECFAAUAAAACACHTuJAz0s1zRQCAAAhBAAADgAAAAAA&#10;AAABACAAAAAiAQAAZHJzL2Uyb0RvYy54bWxQSwUGAAAAAAYABgBZAQAAqAUAAAAA&#10;">
                        <v:fill on="f" focussize="0,0"/>
                        <v:stroke on="f"/>
                        <v:imagedata o:title=""/>
                        <o:lock v:ext="edit" aspectratio="f"/>
                        <v:textbox>
                          <w:txbxContent>
                            <w:p>
                              <w:pPr>
                                <w:pStyle w:val="253"/>
                              </w:pPr>
                              <w:r>
                                <w:rPr>
                                  <w:rFonts w:hint="eastAsia"/>
                                </w:rPr>
                                <w:t>G</w:t>
                              </w:r>
                              <w:r>
                                <w:t>2</w:t>
                              </w:r>
                              <w:r>
                                <w:rPr>
                                  <w:rFonts w:hint="eastAsia"/>
                                </w:rPr>
                                <w:t>-</w:t>
                              </w:r>
                              <w:r>
                                <w:t>2</w:t>
                              </w:r>
                            </w:p>
                          </w:txbxContent>
                        </v:textbox>
                      </v:shape>
                      <v:shape id="AutoShape 845" o:spid="_x0000_s1026" o:spt="32" type="#_x0000_t32" style="position:absolute;left:3756025;top:1020445;height:635;width:420370;" filled="f" stroked="t" coordsize="21600,21600" o:gfxdata="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VEDU1wAA&#10;AAUBAAAPAAAAAAAAAAEAIAAAACIAAABkcnMvZG93bnJldi54bWxQSwECFAAUAAAACACHTuJAx6Y/&#10;2h8CAAA9BAAADgAAAAAAAAABACAAAAAmAQAAZHJzL2Uyb0RvYy54bWxQSwUGAAAAAAYABgBZAQAA&#10;twUAAAAA&#10;">
                        <v:fill on="f" focussize="0,0"/>
                        <v:stroke weight="0.5pt" color="#000000" joinstyle="round" dashstyle="dash" endarrow="block"/>
                        <v:imagedata o:title=""/>
                        <o:lock v:ext="edit" aspectratio="f"/>
                      </v:shape>
                      <v:shape id="Text Box 846" o:spid="_x0000_s1026" o:spt="202" type="#_x0000_t202" style="position:absolute;left:4252595;top:1395095;height:259080;width:1114425;"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V87F9MAAAAFAQAADwAAAAAAAAABACAA&#10;AAAiAAAAZHJzL2Rvd25yZXYueG1sUEsBAhQAFAAAAAgAh07iQKAt2QMSAgAAIwQAAA4AAAAAAAAA&#10;AQAgAAAAIgEAAGRycy9lMm9Eb2MueG1sUEsFBgAAAAAGAAYAWQEAAKYFAAAAAA==&#10;">
                        <v:fill on="f" focussize="0,0"/>
                        <v:stroke on="f"/>
                        <v:imagedata o:title=""/>
                        <o:lock v:ext="edit" aspectratio="f"/>
                        <v:textbox>
                          <w:txbxContent>
                            <w:p>
                              <w:pPr>
                                <w:pStyle w:val="253"/>
                              </w:pPr>
                              <w:r>
                                <w:rPr>
                                  <w:rFonts w:hint="eastAsia"/>
                                </w:rPr>
                                <w:t>G</w:t>
                              </w:r>
                              <w:r>
                                <w:t>2</w:t>
                              </w:r>
                              <w:r>
                                <w:rPr>
                                  <w:rFonts w:hint="eastAsia"/>
                                </w:rPr>
                                <w:t>-</w:t>
                              </w:r>
                              <w:r>
                                <w:t>3</w:t>
                              </w:r>
                              <w:r>
                                <w:rPr>
                                  <w:rFonts w:hint="eastAsia"/>
                                </w:rPr>
                                <w:t>、S</w:t>
                              </w:r>
                              <w:r>
                                <w:t>2</w:t>
                              </w:r>
                              <w:r>
                                <w:rPr>
                                  <w:rFonts w:hint="eastAsia"/>
                                </w:rPr>
                                <w:t>-</w:t>
                              </w:r>
                              <w:r>
                                <w:t>3</w:t>
                              </w:r>
                              <w:r>
                                <w:rPr>
                                  <w:rFonts w:hint="eastAsia"/>
                                </w:rPr>
                                <w:t>、S</w:t>
                              </w:r>
                              <w:r>
                                <w:t>2</w:t>
                              </w:r>
                              <w:r>
                                <w:rPr>
                                  <w:rFonts w:hint="eastAsia"/>
                                </w:rPr>
                                <w:t>-</w:t>
                              </w:r>
                              <w:r>
                                <w:t>4</w:t>
                              </w:r>
                            </w:p>
                          </w:txbxContent>
                        </v:textbox>
                      </v:shape>
                      <v:shape id="AutoShape 847" o:spid="_x0000_s1026" o:spt="32" type="#_x0000_t32" style="position:absolute;left:3756025;top:1524635;flip:y;height:1270;width:496570;" filled="f" stroked="t" coordsize="21600,21600" o:gfxdata="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op+o1QAAAAUBAAAPAAAAAAAAAAEAIAAAACIAAABkcnMvZG93bnJldi54bWxQSwECFAAUAAAACACH&#10;TuJAlLJduycCAABIBAAADgAAAAAAAAABACAAAAAkAQAAZHJzL2Uyb0RvYy54bWxQSwUGAAAAAAYA&#10;BgBZAQAAvQUAAAAA&#10;">
                        <v:fill on="f" focussize="0,0"/>
                        <v:stroke weight="0.5pt" color="#000000" joinstyle="round" dashstyle="dash" endarrow="block"/>
                        <v:imagedata o:title=""/>
                        <o:lock v:ext="edit" aspectratio="f"/>
                      </v:shape>
                      <v:shape id="Text Box 848" o:spid="_x0000_s1026" o:spt="202" type="#_x0000_t202" style="position:absolute;left:3702249;top:2804616;height:285816;width:1548765;"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fOxfTAAAABQEAAA8AAAAAAAAAAQAg&#10;AAAAIgAAAGRycy9kb3ducmV2LnhtbFBLAQIUABQAAAAIAIdO4kCIxjlaEwIAACMEAAAOAAAAAAAA&#10;AAEAIAAAACIBAABkcnMvZTJvRG9jLnhtbFBLBQYAAAAABgAGAFkBAACnBQAAAAA=&#10;">
                        <v:fill on="f" focussize="0,0"/>
                        <v:stroke on="f"/>
                        <v:imagedata o:title=""/>
                        <o:lock v:ext="edit" aspectratio="f"/>
                        <v:textbox>
                          <w:txbxContent>
                            <w:p>
                              <w:pPr>
                                <w:pStyle w:val="253"/>
                              </w:pPr>
                              <w:r>
                                <w:rPr>
                                  <w:rFonts w:hint="eastAsia"/>
                                </w:rPr>
                                <w:t>W</w:t>
                              </w:r>
                              <w:r>
                                <w:t>2</w:t>
                              </w:r>
                              <w:r>
                                <w:rPr>
                                  <w:rFonts w:hint="eastAsia"/>
                                </w:rPr>
                                <w:t>-</w:t>
                              </w:r>
                              <w:r>
                                <w:t>1</w:t>
                              </w:r>
                              <w:r>
                                <w:rPr>
                                  <w:rFonts w:hint="eastAsia"/>
                                </w:rPr>
                                <w:t>、</w:t>
                              </w:r>
                              <w:r>
                                <w:t>S2</w:t>
                              </w:r>
                              <w:r>
                                <w:rPr>
                                  <w:rFonts w:hint="eastAsia"/>
                                </w:rPr>
                                <w:t>-</w:t>
                              </w:r>
                              <w:r>
                                <w:t>5</w:t>
                              </w:r>
                              <w:r>
                                <w:rPr>
                                  <w:rFonts w:hint="eastAsia"/>
                                </w:rPr>
                                <w:t>、S2-6</w:t>
                              </w:r>
                            </w:p>
                          </w:txbxContent>
                        </v:textbox>
                      </v:shape>
                      <v:shape id="AutoShape 849" o:spid="_x0000_s1026" o:spt="32" type="#_x0000_t32" style="position:absolute;left:3454400;top:2947524;flip:y;height:464;width:247849;" filled="f" stroked="t" coordsize="21600,21600" o:gfxdata="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KKfqNUAAAAFAQAADwAAAAAAAAABACAAAAAiAAAAZHJzL2Rvd25yZXYueG1sUEsBAhQAFAAAAAgA&#10;h07iQITSL/IoAgAARwQAAA4AAAAAAAAAAQAgAAAAJAEAAGRycy9lMm9Eb2MueG1sUEsFBgAAAAAG&#10;AAYAWQEAAL4FAAAAAA==&#10;">
                        <v:fill on="f" focussize="0,0"/>
                        <v:stroke weight="0.5pt" color="#000000" joinstyle="round" dashstyle="dash" endarrow="block"/>
                        <v:imagedata o:title=""/>
                        <o:lock v:ext="edit" aspectratio="f"/>
                      </v:shape>
                      <v:shape id="Text Box 850" o:spid="_x0000_s1026" o:spt="202" type="#_x0000_t202" style="position:absolute;left:113030;top:2261870;height:899160;width:997585;" filled="f" stroked="f" coordsize="21600,21600" o:gfxdata="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XzsX0wAAAAUBAAAPAAAAAAAAAAEA&#10;IAAAACIAAABkcnMvZG93bnJldi54bWxQSwECFAAUAAAACACHTuJAWY4yMxQCAAAhBAAADgAAAAAA&#10;AAABACAAAAAiAQAAZHJzL2Uyb0RvYy54bWxQSwUGAAAAAAYABgBZAQAAqAUAAAAA&#10;">
                        <v:fill on="f" focussize="0,0"/>
                        <v:stroke on="f"/>
                        <v:imagedata o:title=""/>
                        <o:lock v:ext="edit" aspectratio="f"/>
                        <v:textbox>
                          <w:txbxContent>
                            <w:p>
                              <w:pPr>
                                <w:pStyle w:val="253"/>
                              </w:pPr>
                              <w:r>
                                <w:rPr>
                                  <w:rFonts w:hint="eastAsia"/>
                                </w:rPr>
                                <w:t>图 例</w:t>
                              </w:r>
                            </w:p>
                            <w:p>
                              <w:pPr>
                                <w:pStyle w:val="253"/>
                              </w:pPr>
                              <w:r>
                                <w:rPr>
                                  <w:rFonts w:hint="eastAsia"/>
                                </w:rPr>
                                <w:t>S：固废</w:t>
                              </w:r>
                            </w:p>
                            <w:p>
                              <w:pPr>
                                <w:pStyle w:val="253"/>
                              </w:pPr>
                              <w:r>
                                <w:rPr>
                                  <w:rFonts w:hint="eastAsia"/>
                                </w:rPr>
                                <w:t>W：废水</w:t>
                              </w:r>
                            </w:p>
                            <w:p>
                              <w:pPr>
                                <w:pStyle w:val="253"/>
                              </w:pPr>
                              <w:r>
                                <w:rPr>
                                  <w:rFonts w:hint="eastAsia"/>
                                </w:rPr>
                                <w:t>G：废气</w:t>
                              </w:r>
                            </w:p>
                          </w:txbxContent>
                        </v:textbox>
                      </v:shape>
                      <w10:wrap type="none"/>
                      <w10:anchorlock/>
                    </v:group>
                  </w:pict>
                </mc:Fallback>
              </mc:AlternateContent>
            </w:r>
          </w:p>
          <w:p>
            <w:pPr>
              <w:pStyle w:val="62"/>
              <w:spacing w:line="240" w:lineRule="auto"/>
              <w:ind w:firstLine="0" w:firstLineChars="0"/>
              <w:jc w:val="center"/>
              <w:rPr>
                <w:rFonts w:eastAsia="仿宋_GB2312"/>
                <w:szCs w:val="24"/>
              </w:rPr>
            </w:pPr>
            <w:r>
              <w:rPr>
                <w:rFonts w:eastAsia="仿宋_GB2312"/>
                <w:b/>
                <w:bCs/>
                <w:szCs w:val="24"/>
              </w:rPr>
              <w:t>图5-4 化学检测的工艺流程图</w:t>
            </w:r>
          </w:p>
          <w:p>
            <w:pPr>
              <w:pStyle w:val="62"/>
              <w:spacing w:line="500" w:lineRule="exact"/>
              <w:ind w:firstLine="480"/>
              <w:rPr>
                <w:rFonts w:eastAsia="仿宋_GB2312"/>
                <w:szCs w:val="24"/>
              </w:rPr>
            </w:pPr>
            <w:r>
              <w:rPr>
                <w:rFonts w:eastAsia="仿宋_GB2312"/>
                <w:szCs w:val="24"/>
              </w:rPr>
              <w:t>检验检测技术服务的工艺流程简述：</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1 \* alphabetic </w:instrText>
            </w:r>
            <w:r>
              <w:rPr>
                <w:rFonts w:eastAsia="仿宋_GB2312"/>
                <w:szCs w:val="24"/>
              </w:rPr>
              <w:fldChar w:fldCharType="separate"/>
            </w:r>
            <w:r>
              <w:rPr>
                <w:rFonts w:eastAsia="仿宋_GB2312"/>
                <w:szCs w:val="24"/>
              </w:rPr>
              <w:t>a</w:t>
            </w:r>
            <w:r>
              <w:rPr>
                <w:rFonts w:eastAsia="仿宋_GB2312"/>
                <w:szCs w:val="24"/>
              </w:rPr>
              <w:fldChar w:fldCharType="end"/>
            </w:r>
            <w:r>
              <w:rPr>
                <w:rFonts w:eastAsia="仿宋_GB2312"/>
                <w:szCs w:val="24"/>
              </w:rPr>
              <w:t>、客户委托：商务人员或评价人员根据客户和法律法规要求将需检测的订单录入公司数据系统。</w:t>
            </w:r>
          </w:p>
          <w:p>
            <w:pPr>
              <w:pStyle w:val="62"/>
              <w:spacing w:line="500" w:lineRule="exact"/>
              <w:ind w:firstLine="480"/>
              <w:rPr>
                <w:rFonts w:eastAsia="仿宋_GB2312"/>
                <w:szCs w:val="24"/>
              </w:rPr>
            </w:pPr>
            <w:r>
              <w:rPr>
                <w:rFonts w:eastAsia="仿宋_GB2312"/>
                <w:szCs w:val="24"/>
              </w:rPr>
              <w:t>b、现场采样：现场人员根据订单内容，准备采样设备。到达目的地后，按照相关标准规范采集样品。</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3 \* alphabetic </w:instrText>
            </w:r>
            <w:r>
              <w:rPr>
                <w:rFonts w:eastAsia="仿宋_GB2312"/>
                <w:szCs w:val="24"/>
              </w:rPr>
              <w:fldChar w:fldCharType="separate"/>
            </w:r>
            <w:r>
              <w:rPr>
                <w:rFonts w:eastAsia="仿宋_GB2312"/>
                <w:szCs w:val="24"/>
              </w:rPr>
              <w:t>c</w:t>
            </w:r>
            <w:r>
              <w:rPr>
                <w:rFonts w:eastAsia="仿宋_GB2312"/>
                <w:szCs w:val="24"/>
              </w:rPr>
              <w:fldChar w:fldCharType="end"/>
            </w:r>
            <w:r>
              <w:rPr>
                <w:rFonts w:eastAsia="仿宋_GB2312"/>
                <w:szCs w:val="24"/>
              </w:rPr>
              <w:t>、试剂</w:t>
            </w:r>
            <w:r>
              <w:rPr>
                <w:rFonts w:hint="eastAsia" w:eastAsia="仿宋_GB2312"/>
                <w:szCs w:val="24"/>
              </w:rPr>
              <w:t>配制</w:t>
            </w:r>
            <w:r>
              <w:rPr>
                <w:rFonts w:eastAsia="仿宋_GB2312"/>
                <w:szCs w:val="24"/>
              </w:rPr>
              <w:t>：检测人员按照标准要求，将不同试剂</w:t>
            </w:r>
            <w:r>
              <w:rPr>
                <w:rFonts w:hint="eastAsia" w:eastAsia="仿宋_GB2312"/>
                <w:szCs w:val="24"/>
              </w:rPr>
              <w:t>配制</w:t>
            </w:r>
            <w:r>
              <w:rPr>
                <w:rFonts w:eastAsia="仿宋_GB2312"/>
                <w:szCs w:val="24"/>
              </w:rPr>
              <w:t>到一定浓度。</w:t>
            </w:r>
            <w:r>
              <w:rPr>
                <w:rFonts w:hint="eastAsia" w:eastAsia="仿宋_GB2312"/>
                <w:szCs w:val="24"/>
              </w:rPr>
              <w:t>配制</w:t>
            </w:r>
            <w:r>
              <w:rPr>
                <w:rFonts w:eastAsia="仿宋_GB2312"/>
                <w:szCs w:val="24"/>
              </w:rPr>
              <w:t>过程均在通风橱内进行。此过程产生废气（G</w:t>
            </w:r>
            <w:r>
              <w:rPr>
                <w:rFonts w:eastAsia="仿宋_GB2312"/>
              </w:rPr>
              <w:t>2-</w:t>
            </w:r>
            <w:r>
              <w:rPr>
                <w:rFonts w:eastAsia="仿宋_GB2312"/>
                <w:szCs w:val="24"/>
              </w:rPr>
              <w:t>1）、实验废液（S</w:t>
            </w:r>
            <w:r>
              <w:rPr>
                <w:rFonts w:eastAsia="仿宋_GB2312"/>
              </w:rPr>
              <w:t>2-</w:t>
            </w:r>
            <w:r>
              <w:rPr>
                <w:rFonts w:eastAsia="仿宋_GB2312"/>
                <w:szCs w:val="24"/>
              </w:rPr>
              <w:t>1）和废试剂瓶或沾染药剂的废包装（S</w:t>
            </w:r>
            <w:r>
              <w:rPr>
                <w:rFonts w:eastAsia="仿宋_GB2312"/>
              </w:rPr>
              <w:t>2-</w:t>
            </w:r>
            <w:r>
              <w:rPr>
                <w:rFonts w:eastAsia="仿宋_GB2312"/>
                <w:szCs w:val="24"/>
              </w:rPr>
              <w:t>2）。</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4 \* alphabetic </w:instrText>
            </w:r>
            <w:r>
              <w:rPr>
                <w:rFonts w:eastAsia="仿宋_GB2312"/>
                <w:szCs w:val="24"/>
              </w:rPr>
              <w:fldChar w:fldCharType="separate"/>
            </w:r>
            <w:r>
              <w:rPr>
                <w:rFonts w:eastAsia="仿宋_GB2312"/>
                <w:szCs w:val="24"/>
              </w:rPr>
              <w:t>d</w:t>
            </w:r>
            <w:r>
              <w:rPr>
                <w:rFonts w:eastAsia="仿宋_GB2312"/>
                <w:szCs w:val="24"/>
              </w:rPr>
              <w:fldChar w:fldCharType="end"/>
            </w:r>
            <w:r>
              <w:rPr>
                <w:rFonts w:eastAsia="仿宋_GB2312"/>
                <w:szCs w:val="24"/>
              </w:rPr>
              <w:t>、样品预处理：根据项目的检测要求，预处理样品满足检测条件，预处理过程均在通风橱/集气罩中操作。此过程产生废气（G</w:t>
            </w:r>
            <w:r>
              <w:rPr>
                <w:rFonts w:eastAsia="仿宋_GB2312"/>
              </w:rPr>
              <w:t>2-</w:t>
            </w:r>
            <w:r>
              <w:rPr>
                <w:rFonts w:eastAsia="仿宋_GB2312"/>
                <w:szCs w:val="24"/>
              </w:rPr>
              <w:t>2）。</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5 \* alphabetic </w:instrText>
            </w:r>
            <w:r>
              <w:rPr>
                <w:rFonts w:eastAsia="仿宋_GB2312"/>
                <w:szCs w:val="24"/>
              </w:rPr>
              <w:fldChar w:fldCharType="separate"/>
            </w:r>
            <w:r>
              <w:rPr>
                <w:rFonts w:eastAsia="仿宋_GB2312"/>
                <w:szCs w:val="24"/>
              </w:rPr>
              <w:t>e</w:t>
            </w:r>
            <w:r>
              <w:rPr>
                <w:rFonts w:eastAsia="仿宋_GB2312"/>
                <w:szCs w:val="24"/>
              </w:rPr>
              <w:fldChar w:fldCharType="end"/>
            </w:r>
            <w:r>
              <w:rPr>
                <w:rFonts w:eastAsia="仿宋_GB2312"/>
                <w:szCs w:val="24"/>
              </w:rPr>
              <w:t>、样品检测：检测人员按照标准要求，选择对应的试剂、分析方法和分析仪器进行检验。检测过程均在集气罩内进行。此过程产生废气（G</w:t>
            </w:r>
            <w:r>
              <w:rPr>
                <w:rFonts w:eastAsia="仿宋_GB2312"/>
              </w:rPr>
              <w:t>2-</w:t>
            </w:r>
            <w:r>
              <w:rPr>
                <w:rFonts w:eastAsia="仿宋_GB2312"/>
                <w:szCs w:val="24"/>
              </w:rPr>
              <w:t>3）、废液（S</w:t>
            </w:r>
            <w:r>
              <w:rPr>
                <w:rFonts w:eastAsia="仿宋_GB2312"/>
              </w:rPr>
              <w:t>2-</w:t>
            </w:r>
            <w:r>
              <w:rPr>
                <w:rFonts w:eastAsia="仿宋_GB2312"/>
                <w:szCs w:val="24"/>
              </w:rPr>
              <w:t>3）和废样品（S</w:t>
            </w:r>
            <w:r>
              <w:rPr>
                <w:rFonts w:eastAsia="仿宋_GB2312"/>
              </w:rPr>
              <w:t>2-</w:t>
            </w:r>
            <w:r>
              <w:rPr>
                <w:rFonts w:eastAsia="仿宋_GB2312"/>
                <w:szCs w:val="24"/>
              </w:rPr>
              <w:t>4）。</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6 \* alphabetic </w:instrText>
            </w:r>
            <w:r>
              <w:rPr>
                <w:rFonts w:eastAsia="仿宋_GB2312"/>
                <w:szCs w:val="24"/>
              </w:rPr>
              <w:fldChar w:fldCharType="separate"/>
            </w:r>
            <w:r>
              <w:rPr>
                <w:rFonts w:eastAsia="仿宋_GB2312"/>
                <w:szCs w:val="24"/>
              </w:rPr>
              <w:t>f</w:t>
            </w:r>
            <w:r>
              <w:rPr>
                <w:rFonts w:eastAsia="仿宋_GB2312"/>
                <w:szCs w:val="24"/>
              </w:rPr>
              <w:fldChar w:fldCharType="end"/>
            </w:r>
            <w:r>
              <w:rPr>
                <w:rFonts w:eastAsia="仿宋_GB2312"/>
                <w:szCs w:val="24"/>
              </w:rPr>
              <w:t>、仪器清洗：样品检测完成后，检测人员对所有使用过的实验器皿和检测仪器进行清洗，此工序产生</w:t>
            </w:r>
            <w:r>
              <w:rPr>
                <w:rFonts w:hint="eastAsia" w:eastAsia="仿宋_GB2312"/>
                <w:szCs w:val="24"/>
              </w:rPr>
              <w:t>初期</w:t>
            </w:r>
            <w:r>
              <w:rPr>
                <w:rFonts w:eastAsia="仿宋_GB2312"/>
                <w:szCs w:val="24"/>
              </w:rPr>
              <w:t>清洗废水（S</w:t>
            </w:r>
            <w:r>
              <w:rPr>
                <w:rFonts w:eastAsia="仿宋_GB2312"/>
              </w:rPr>
              <w:t>2-</w:t>
            </w:r>
            <w:r>
              <w:rPr>
                <w:rFonts w:eastAsia="仿宋_GB2312"/>
                <w:szCs w:val="24"/>
              </w:rPr>
              <w:t>5，</w:t>
            </w:r>
            <w:r>
              <w:rPr>
                <w:rFonts w:hint="eastAsia" w:eastAsia="仿宋_GB2312"/>
                <w:szCs w:val="24"/>
              </w:rPr>
              <w:t>前两道清洗废水</w:t>
            </w:r>
            <w:r>
              <w:rPr>
                <w:rFonts w:eastAsia="仿宋_GB2312"/>
                <w:szCs w:val="24"/>
              </w:rPr>
              <w:t>作为</w:t>
            </w:r>
            <w:r>
              <w:rPr>
                <w:rFonts w:hint="eastAsia" w:eastAsia="仿宋_GB2312"/>
                <w:szCs w:val="24"/>
              </w:rPr>
              <w:t>废液</w:t>
            </w:r>
            <w:r>
              <w:rPr>
                <w:rFonts w:eastAsia="仿宋_GB2312"/>
                <w:szCs w:val="24"/>
              </w:rPr>
              <w:t>处置）和清洗废水（W</w:t>
            </w:r>
            <w:r>
              <w:rPr>
                <w:rFonts w:eastAsia="仿宋_GB2312"/>
              </w:rPr>
              <w:t>2-</w:t>
            </w:r>
            <w:r>
              <w:rPr>
                <w:rFonts w:eastAsia="仿宋_GB2312"/>
                <w:szCs w:val="24"/>
              </w:rPr>
              <w:t>1）</w:t>
            </w:r>
            <w:r>
              <w:rPr>
                <w:rFonts w:hint="eastAsia" w:eastAsia="仿宋_GB2312"/>
                <w:szCs w:val="24"/>
              </w:rPr>
              <w:t>，同时检测完成后剩余水样、土样、固废样等实验室废物（S</w:t>
            </w:r>
            <w:r>
              <w:rPr>
                <w:rFonts w:eastAsia="仿宋_GB2312"/>
                <w:szCs w:val="24"/>
              </w:rPr>
              <w:t>2-6</w:t>
            </w:r>
            <w:r>
              <w:rPr>
                <w:rFonts w:hint="eastAsia" w:eastAsia="仿宋_GB2312"/>
                <w:szCs w:val="24"/>
              </w:rPr>
              <w:t>）均作为危废处置</w:t>
            </w:r>
            <w:r>
              <w:rPr>
                <w:rFonts w:eastAsia="仿宋_GB2312"/>
                <w:szCs w:val="24"/>
              </w:rPr>
              <w:t>。</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7 \* alphabetic </w:instrText>
            </w:r>
            <w:r>
              <w:rPr>
                <w:rFonts w:eastAsia="仿宋_GB2312"/>
                <w:szCs w:val="24"/>
              </w:rPr>
              <w:fldChar w:fldCharType="separate"/>
            </w:r>
            <w:r>
              <w:rPr>
                <w:rFonts w:eastAsia="仿宋_GB2312"/>
                <w:szCs w:val="24"/>
              </w:rPr>
              <w:t>g</w:t>
            </w:r>
            <w:r>
              <w:rPr>
                <w:rFonts w:eastAsia="仿宋_GB2312"/>
                <w:szCs w:val="24"/>
              </w:rPr>
              <w:fldChar w:fldCharType="end"/>
            </w:r>
            <w:r>
              <w:rPr>
                <w:rFonts w:eastAsia="仿宋_GB2312"/>
                <w:szCs w:val="24"/>
              </w:rPr>
              <w:t>、数据处理及审核、出具检验检测报告：检测人员导出仪器数据，按要求处理记录后由审核人员审核。审核通过后，报告编制员根据记录编制检验检测报告。最后，审核人员对报告进行复核，复核完成后打印生成正式报告。</w:t>
            </w: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4 \* GB3 </w:instrText>
            </w:r>
            <w:r>
              <w:rPr>
                <w:rFonts w:eastAsia="仿宋_GB2312"/>
                <w:szCs w:val="24"/>
              </w:rPr>
              <w:fldChar w:fldCharType="separate"/>
            </w:r>
            <w:r>
              <w:rPr>
                <w:rFonts w:hint="eastAsia" w:ascii="宋体" w:hAnsi="宋体" w:cs="宋体"/>
                <w:szCs w:val="24"/>
              </w:rPr>
              <w:t>④</w:t>
            </w:r>
            <w:r>
              <w:rPr>
                <w:rFonts w:eastAsia="仿宋_GB2312"/>
                <w:szCs w:val="24"/>
              </w:rPr>
              <w:fldChar w:fldCharType="end"/>
            </w:r>
            <w:r>
              <w:rPr>
                <w:rFonts w:eastAsia="仿宋_GB2312"/>
                <w:szCs w:val="24"/>
              </w:rPr>
              <w:t xml:space="preserve"> 试剂及样品留存</w:t>
            </w:r>
          </w:p>
          <w:p>
            <w:pPr>
              <w:pStyle w:val="62"/>
              <w:spacing w:line="500" w:lineRule="exact"/>
              <w:ind w:firstLine="480"/>
              <w:rPr>
                <w:rFonts w:eastAsia="仿宋_GB2312"/>
                <w:szCs w:val="24"/>
              </w:rPr>
            </w:pPr>
            <w:r>
              <w:rPr>
                <w:rFonts w:eastAsia="仿宋_GB2312"/>
                <w:szCs w:val="24"/>
              </w:rPr>
              <w:t>样品间留存的部分样品、化学品仓库存放的部分试剂在取用时会产生极少量挥发性气体。</w:t>
            </w:r>
          </w:p>
          <w:p>
            <w:pPr>
              <w:pStyle w:val="62"/>
              <w:spacing w:line="500" w:lineRule="exact"/>
              <w:ind w:firstLine="480"/>
              <w:rPr>
                <w:rFonts w:eastAsia="仿宋_GB2312"/>
                <w:szCs w:val="24"/>
              </w:rPr>
            </w:pPr>
            <w:r>
              <w:rPr>
                <w:rFonts w:hint="eastAsia" w:ascii="宋体" w:hAnsi="宋体" w:cs="宋体"/>
                <w:szCs w:val="24"/>
              </w:rPr>
              <w:t>⑤</w:t>
            </w:r>
            <w:r>
              <w:rPr>
                <w:rFonts w:eastAsia="仿宋_GB2312"/>
                <w:szCs w:val="24"/>
              </w:rPr>
              <w:t xml:space="preserve"> 科研实验</w:t>
            </w:r>
          </w:p>
          <w:p>
            <w:pPr>
              <w:pStyle w:val="62"/>
              <w:spacing w:line="500" w:lineRule="exact"/>
              <w:ind w:firstLine="480"/>
              <w:rPr>
                <w:rFonts w:eastAsia="仿宋_GB2312"/>
                <w:szCs w:val="24"/>
              </w:rPr>
            </w:pPr>
            <w:r>
              <w:rPr>
                <w:rFonts w:eastAsia="仿宋_GB2312"/>
                <w:szCs w:val="24"/>
              </w:rPr>
              <w:t>科研实验流程主要根据具体实验内容确定，主要围绕污染土壤、污泥、</w:t>
            </w:r>
            <w:r>
              <w:rPr>
                <w:rFonts w:hint="eastAsia" w:eastAsia="仿宋_GB2312"/>
                <w:szCs w:val="24"/>
              </w:rPr>
              <w:t>污</w:t>
            </w:r>
            <w:r>
              <w:rPr>
                <w:rFonts w:eastAsia="仿宋_GB2312"/>
                <w:szCs w:val="24"/>
              </w:rPr>
              <w:t>水等介质的环境治理修复开展实验，位于实验室二、五层。主要实验类型如添加药剂进行化学氧化、利用材料介质进行物理修复、通过热处理方式进行治理等。</w:t>
            </w:r>
          </w:p>
          <w:p>
            <w:pPr>
              <w:pStyle w:val="62"/>
              <w:spacing w:line="500" w:lineRule="exact"/>
              <w:ind w:firstLine="480"/>
              <w:rPr>
                <w:rFonts w:eastAsia="仿宋_GB2312"/>
                <w:szCs w:val="24"/>
              </w:rPr>
            </w:pPr>
            <w:r>
              <w:rPr>
                <w:rFonts w:hint="eastAsia" w:eastAsia="仿宋_GB2312"/>
                <w:szCs w:val="24"/>
              </w:rPr>
              <w:t>其余实验室如无菌室用于环境毒理学实验，研究藻毒素对斑马鱼的影响，主要研究对象为藻类，不产生涉及菌类的废水，主要固废为藻类及斑马鱼尸体，依据《实验动物管理条例》第三十一条的规定，藻类及斑马鱼尸体应装入专用尸体袋中存放于尸体冷藏柜(间)或冰柜内，集中作无害化处理。</w:t>
            </w:r>
            <w:r>
              <w:rPr>
                <w:rFonts w:eastAsia="仿宋_GB2312"/>
                <w:szCs w:val="24"/>
              </w:rPr>
              <w:t>流程图如下：</w:t>
            </w:r>
          </w:p>
          <w:p>
            <w:pPr>
              <w:pStyle w:val="253"/>
              <w:rPr>
                <w:rFonts w:eastAsia="仿宋_GB2312"/>
                <w:color w:val="000000"/>
              </w:rPr>
            </w:pPr>
            <w:r>
              <w:rPr>
                <w:rFonts w:eastAsia="仿宋_GB2312"/>
                <w:color w:val="000000"/>
              </w:rPr>
              <mc:AlternateContent>
                <mc:Choice Requires="wpc">
                  <w:drawing>
                    <wp:inline distT="0" distB="0" distL="0" distR="0">
                      <wp:extent cx="5367655" cy="3504565"/>
                      <wp:effectExtent l="0" t="0" r="0" b="0"/>
                      <wp:docPr id="852" name="画布 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853"/>
                              <wps:cNvSpPr txBox="1">
                                <a:spLocks noChangeArrowheads="1"/>
                              </wps:cNvSpPr>
                              <wps:spPr bwMode="auto">
                                <a:xfrm>
                                  <a:off x="2093595" y="125730"/>
                                  <a:ext cx="1207770" cy="293370"/>
                                </a:xfrm>
                                <a:prstGeom prst="rect">
                                  <a:avLst/>
                                </a:prstGeom>
                                <a:solidFill>
                                  <a:srgbClr val="FFFFFF"/>
                                </a:solidFill>
                                <a:ln w="9525">
                                  <a:solidFill>
                                    <a:srgbClr val="000000"/>
                                  </a:solidFill>
                                  <a:miter lim="800000"/>
                                </a:ln>
                              </wps:spPr>
                              <wps:txbx>
                                <w:txbxContent>
                                  <w:p>
                                    <w:pPr>
                                      <w:pStyle w:val="253"/>
                                    </w:pPr>
                                    <w:r>
                                      <w:rPr>
                                        <w:rFonts w:hint="eastAsia"/>
                                      </w:rPr>
                                      <w:t>样品采集</w:t>
                                    </w:r>
                                  </w:p>
                                </w:txbxContent>
                              </wps:txbx>
                              <wps:bodyPr rot="0" vert="horz" wrap="square" lIns="91440" tIns="45720" rIns="91440" bIns="45720" anchor="t" anchorCtr="0" upright="1">
                                <a:noAutofit/>
                              </wps:bodyPr>
                            </wps:wsp>
                            <wps:wsp>
                              <wps:cNvPr id="2" name="Text Box 854"/>
                              <wps:cNvSpPr txBox="1">
                                <a:spLocks noChangeArrowheads="1"/>
                              </wps:cNvSpPr>
                              <wps:spPr bwMode="auto">
                                <a:xfrm>
                                  <a:off x="2093595" y="652145"/>
                                  <a:ext cx="1207770" cy="293370"/>
                                </a:xfrm>
                                <a:prstGeom prst="rect">
                                  <a:avLst/>
                                </a:prstGeom>
                                <a:solidFill>
                                  <a:srgbClr val="FFFFFF"/>
                                </a:solidFill>
                                <a:ln w="9525">
                                  <a:solidFill>
                                    <a:srgbClr val="000000"/>
                                  </a:solidFill>
                                  <a:miter lim="800000"/>
                                </a:ln>
                              </wps:spPr>
                              <wps:txbx>
                                <w:txbxContent>
                                  <w:p>
                                    <w:pPr>
                                      <w:pStyle w:val="253"/>
                                    </w:pPr>
                                    <w:r>
                                      <w:rPr>
                                        <w:rFonts w:hint="eastAsia"/>
                                      </w:rPr>
                                      <w:t>开展实验</w:t>
                                    </w:r>
                                  </w:p>
                                </w:txbxContent>
                              </wps:txbx>
                              <wps:bodyPr rot="0" vert="horz" wrap="square" lIns="91440" tIns="45720" rIns="91440" bIns="45720" anchor="t" anchorCtr="0" upright="1">
                                <a:noAutofit/>
                              </wps:bodyPr>
                            </wps:wsp>
                            <wps:wsp>
                              <wps:cNvPr id="4" name="Text Box 855"/>
                              <wps:cNvSpPr txBox="1">
                                <a:spLocks noChangeArrowheads="1"/>
                              </wps:cNvSpPr>
                              <wps:spPr bwMode="auto">
                                <a:xfrm>
                                  <a:off x="313690" y="566420"/>
                                  <a:ext cx="1207770" cy="466090"/>
                                </a:xfrm>
                                <a:prstGeom prst="rect">
                                  <a:avLst/>
                                </a:prstGeom>
                                <a:solidFill>
                                  <a:srgbClr val="FFFFFF"/>
                                </a:solidFill>
                                <a:ln w="9525">
                                  <a:solidFill>
                                    <a:srgbClr val="000000"/>
                                  </a:solidFill>
                                  <a:miter lim="800000"/>
                                </a:ln>
                              </wps:spPr>
                              <wps:txbx>
                                <w:txbxContent>
                                  <w:p>
                                    <w:pPr>
                                      <w:pStyle w:val="253"/>
                                    </w:pPr>
                                    <w:r>
                                      <w:rPr>
                                        <w:rFonts w:hint="eastAsia"/>
                                      </w:rPr>
                                      <w:t>准备实验材料</w:t>
                                    </w:r>
                                  </w:p>
                                  <w:p>
                                    <w:pPr>
                                      <w:pStyle w:val="253"/>
                                    </w:pPr>
                                    <w:r>
                                      <w:rPr>
                                        <w:rFonts w:hint="eastAsia"/>
                                      </w:rPr>
                                      <w:t>（药剂/仪器等）</w:t>
                                    </w:r>
                                  </w:p>
                                </w:txbxContent>
                              </wps:txbx>
                              <wps:bodyPr rot="0" vert="horz" wrap="square" lIns="91440" tIns="45720" rIns="91440" bIns="45720" anchor="t" anchorCtr="0" upright="1">
                                <a:noAutofit/>
                              </wps:bodyPr>
                            </wps:wsp>
                            <wps:wsp>
                              <wps:cNvPr id="5" name="Text Box 856"/>
                              <wps:cNvSpPr txBox="1">
                                <a:spLocks noChangeArrowheads="1"/>
                              </wps:cNvSpPr>
                              <wps:spPr bwMode="auto">
                                <a:xfrm>
                                  <a:off x="2093595" y="1203960"/>
                                  <a:ext cx="1207770" cy="664210"/>
                                </a:xfrm>
                                <a:prstGeom prst="rect">
                                  <a:avLst/>
                                </a:prstGeom>
                                <a:solidFill>
                                  <a:srgbClr val="FFFFFF"/>
                                </a:solidFill>
                                <a:ln w="9525">
                                  <a:solidFill>
                                    <a:srgbClr val="000000"/>
                                  </a:solidFill>
                                  <a:miter lim="800000"/>
                                </a:ln>
                              </wps:spPr>
                              <wps:txbx>
                                <w:txbxContent>
                                  <w:p>
                                    <w:pPr>
                                      <w:pStyle w:val="253"/>
                                    </w:pPr>
                                    <w:r>
                                      <w:rPr>
                                        <w:rFonts w:hint="eastAsia"/>
                                      </w:rPr>
                                      <w:t>检测分析</w:t>
                                    </w:r>
                                  </w:p>
                                  <w:p>
                                    <w:pPr>
                                      <w:pStyle w:val="253"/>
                                    </w:pPr>
                                    <w:r>
                                      <w:rPr>
                                        <w:rFonts w:hint="eastAsia"/>
                                      </w:rPr>
                                      <w:t>（在</w:t>
                                    </w:r>
                                    <w:r>
                                      <w:t>三</w:t>
                                    </w:r>
                                    <w:r>
                                      <w:rPr>
                                        <w:rFonts w:hint="eastAsia"/>
                                      </w:rPr>
                                      <w:t>、</w:t>
                                    </w:r>
                                    <w:r>
                                      <w:t>四层检测实验室进行</w:t>
                                    </w:r>
                                    <w:r>
                                      <w:rPr>
                                        <w:rFonts w:hint="eastAsia"/>
                                      </w:rPr>
                                      <w:t>）</w:t>
                                    </w:r>
                                  </w:p>
                                </w:txbxContent>
                              </wps:txbx>
                              <wps:bodyPr rot="0" vert="horz" wrap="square" lIns="91440" tIns="45720" rIns="91440" bIns="45720" anchor="t" anchorCtr="0" upright="1">
                                <a:noAutofit/>
                              </wps:bodyPr>
                            </wps:wsp>
                            <wps:wsp>
                              <wps:cNvPr id="6" name="AutoShape 857"/>
                              <wps:cNvCnPr>
                                <a:cxnSpLocks noChangeShapeType="1"/>
                                <a:stCxn id="4" idx="3"/>
                                <a:endCxn id="2" idx="1"/>
                              </wps:cNvCnPr>
                              <wps:spPr bwMode="auto">
                                <a:xfrm flipV="1">
                                  <a:off x="1521460" y="798830"/>
                                  <a:ext cx="572135" cy="635"/>
                                </a:xfrm>
                                <a:prstGeom prst="straightConnector1">
                                  <a:avLst/>
                                </a:prstGeom>
                                <a:noFill/>
                                <a:ln w="9525">
                                  <a:solidFill>
                                    <a:srgbClr val="000000"/>
                                  </a:solidFill>
                                  <a:round/>
                                  <a:tailEnd type="triangle" w="med" len="med"/>
                                </a:ln>
                              </wps:spPr>
                              <wps:bodyPr/>
                            </wps:wsp>
                            <wps:wsp>
                              <wps:cNvPr id="7" name="AutoShape 858"/>
                              <wps:cNvCnPr>
                                <a:cxnSpLocks noChangeShapeType="1"/>
                                <a:stCxn id="1" idx="2"/>
                                <a:endCxn id="2" idx="0"/>
                              </wps:cNvCnPr>
                              <wps:spPr bwMode="auto">
                                <a:xfrm>
                                  <a:off x="2697480" y="419100"/>
                                  <a:ext cx="635" cy="233045"/>
                                </a:xfrm>
                                <a:prstGeom prst="straightConnector1">
                                  <a:avLst/>
                                </a:prstGeom>
                                <a:noFill/>
                                <a:ln w="9525">
                                  <a:solidFill>
                                    <a:srgbClr val="000000"/>
                                  </a:solidFill>
                                  <a:round/>
                                  <a:tailEnd type="triangle" w="med" len="med"/>
                                </a:ln>
                              </wps:spPr>
                              <wps:bodyPr/>
                            </wps:wsp>
                            <wps:wsp>
                              <wps:cNvPr id="8" name="AutoShape 859"/>
                              <wps:cNvCnPr>
                                <a:cxnSpLocks noChangeShapeType="1"/>
                                <a:stCxn id="2" idx="2"/>
                                <a:endCxn id="5" idx="0"/>
                              </wps:cNvCnPr>
                              <wps:spPr bwMode="auto">
                                <a:xfrm>
                                  <a:off x="2697480" y="945515"/>
                                  <a:ext cx="635" cy="258445"/>
                                </a:xfrm>
                                <a:prstGeom prst="straightConnector1">
                                  <a:avLst/>
                                </a:prstGeom>
                                <a:noFill/>
                                <a:ln w="9525">
                                  <a:solidFill>
                                    <a:srgbClr val="000000"/>
                                  </a:solidFill>
                                  <a:round/>
                                  <a:tailEnd type="triangle" w="med" len="med"/>
                                </a:ln>
                              </wps:spPr>
                              <wps:bodyPr/>
                            </wps:wsp>
                            <wps:wsp>
                              <wps:cNvPr id="9" name="Text Box 860"/>
                              <wps:cNvSpPr txBox="1">
                                <a:spLocks noChangeArrowheads="1"/>
                              </wps:cNvSpPr>
                              <wps:spPr bwMode="auto">
                                <a:xfrm>
                                  <a:off x="2698115" y="2127250"/>
                                  <a:ext cx="923925" cy="293370"/>
                                </a:xfrm>
                                <a:prstGeom prst="rect">
                                  <a:avLst/>
                                </a:prstGeom>
                                <a:solidFill>
                                  <a:srgbClr val="FFFFFF"/>
                                </a:solidFill>
                                <a:ln w="9525">
                                  <a:solidFill>
                                    <a:srgbClr val="000000"/>
                                  </a:solidFill>
                                  <a:miter lim="800000"/>
                                </a:ln>
                              </wps:spPr>
                              <wps:txbx>
                                <w:txbxContent>
                                  <w:p>
                                    <w:pPr>
                                      <w:pStyle w:val="253"/>
                                    </w:pPr>
                                    <w:r>
                                      <w:rPr>
                                        <w:rFonts w:hint="eastAsia"/>
                                      </w:rPr>
                                      <w:t>数据分析</w:t>
                                    </w:r>
                                  </w:p>
                                </w:txbxContent>
                              </wps:txbx>
                              <wps:bodyPr rot="0" vert="horz" wrap="square" lIns="91440" tIns="45720" rIns="91440" bIns="45720" anchor="t" anchorCtr="0" upright="1">
                                <a:noAutofit/>
                              </wps:bodyPr>
                            </wps:wsp>
                            <wps:wsp>
                              <wps:cNvPr id="10" name="Text Box 861"/>
                              <wps:cNvSpPr txBox="1">
                                <a:spLocks noChangeArrowheads="1"/>
                              </wps:cNvSpPr>
                              <wps:spPr bwMode="auto">
                                <a:xfrm>
                                  <a:off x="1783080" y="3107690"/>
                                  <a:ext cx="1163955" cy="293370"/>
                                </a:xfrm>
                                <a:prstGeom prst="rect">
                                  <a:avLst/>
                                </a:prstGeom>
                                <a:solidFill>
                                  <a:srgbClr val="FFFFFF"/>
                                </a:solidFill>
                                <a:ln w="9525">
                                  <a:solidFill>
                                    <a:srgbClr val="000000"/>
                                  </a:solidFill>
                                  <a:miter lim="800000"/>
                                </a:ln>
                              </wps:spPr>
                              <wps:txbx>
                                <w:txbxContent>
                                  <w:p>
                                    <w:pPr>
                                      <w:pStyle w:val="253"/>
                                    </w:pPr>
                                    <w:r>
                                      <w:rPr>
                                        <w:rFonts w:hint="eastAsia"/>
                                      </w:rPr>
                                      <w:t>仪器/器皿清洗</w:t>
                                    </w:r>
                                  </w:p>
                                </w:txbxContent>
                              </wps:txbx>
                              <wps:bodyPr rot="0" vert="horz" wrap="square" lIns="91440" tIns="45720" rIns="91440" bIns="45720" anchor="t" anchorCtr="0" upright="1">
                                <a:noAutofit/>
                              </wps:bodyPr>
                            </wps:wsp>
                            <wps:wsp>
                              <wps:cNvPr id="11" name="Text Box 862"/>
                              <wps:cNvSpPr txBox="1">
                                <a:spLocks noChangeArrowheads="1"/>
                              </wps:cNvSpPr>
                              <wps:spPr bwMode="auto">
                                <a:xfrm>
                                  <a:off x="2698115" y="2653665"/>
                                  <a:ext cx="923925" cy="293370"/>
                                </a:xfrm>
                                <a:prstGeom prst="rect">
                                  <a:avLst/>
                                </a:prstGeom>
                                <a:noFill/>
                                <a:ln>
                                  <a:noFill/>
                                </a:ln>
                              </wps:spPr>
                              <wps:txbx>
                                <w:txbxContent>
                                  <w:p>
                                    <w:pPr>
                                      <w:pStyle w:val="253"/>
                                    </w:pPr>
                                    <w:r>
                                      <w:rPr>
                                        <w:rFonts w:hint="eastAsia"/>
                                      </w:rPr>
                                      <w:t>科研成果</w:t>
                                    </w:r>
                                  </w:p>
                                </w:txbxContent>
                              </wps:txbx>
                              <wps:bodyPr rot="0" vert="horz" wrap="square" lIns="91440" tIns="45720" rIns="91440" bIns="45720" anchor="t" anchorCtr="0" upright="1">
                                <a:noAutofit/>
                              </wps:bodyPr>
                            </wps:wsp>
                            <wps:wsp>
                              <wps:cNvPr id="12" name="AutoShape 863"/>
                              <wps:cNvCnPr>
                                <a:cxnSpLocks noChangeShapeType="1"/>
                                <a:stCxn id="9" idx="2"/>
                                <a:endCxn id="11" idx="0"/>
                              </wps:cNvCnPr>
                              <wps:spPr bwMode="auto">
                                <a:xfrm>
                                  <a:off x="3160395" y="2420620"/>
                                  <a:ext cx="635" cy="233045"/>
                                </a:xfrm>
                                <a:prstGeom prst="straightConnector1">
                                  <a:avLst/>
                                </a:prstGeom>
                                <a:noFill/>
                                <a:ln w="9525">
                                  <a:solidFill>
                                    <a:srgbClr val="000000"/>
                                  </a:solidFill>
                                  <a:round/>
                                  <a:tailEnd type="triangle" w="med" len="med"/>
                                </a:ln>
                              </wps:spPr>
                              <wps:bodyPr/>
                            </wps:wsp>
                            <wps:wsp>
                              <wps:cNvPr id="13" name="AutoShape 864"/>
                              <wps:cNvCnPr>
                                <a:cxnSpLocks noChangeShapeType="1"/>
                                <a:endCxn id="9" idx="0"/>
                              </wps:cNvCnPr>
                              <wps:spPr bwMode="auto">
                                <a:xfrm flipH="1">
                                  <a:off x="3160395" y="1868170"/>
                                  <a:ext cx="635" cy="259080"/>
                                </a:xfrm>
                                <a:prstGeom prst="straightConnector1">
                                  <a:avLst/>
                                </a:prstGeom>
                                <a:noFill/>
                                <a:ln w="9525">
                                  <a:solidFill>
                                    <a:srgbClr val="000000"/>
                                  </a:solidFill>
                                  <a:round/>
                                  <a:tailEnd type="triangle" w="med" len="med"/>
                                </a:ln>
                              </wps:spPr>
                              <wps:bodyPr/>
                            </wps:wsp>
                            <wps:wsp>
                              <wps:cNvPr id="14" name="AutoShape 865"/>
                              <wps:cNvCnPr>
                                <a:cxnSpLocks noChangeShapeType="1"/>
                                <a:endCxn id="10" idx="0"/>
                              </wps:cNvCnPr>
                              <wps:spPr bwMode="auto">
                                <a:xfrm flipH="1">
                                  <a:off x="2365375" y="1868170"/>
                                  <a:ext cx="4445" cy="1239520"/>
                                </a:xfrm>
                                <a:prstGeom prst="straightConnector1">
                                  <a:avLst/>
                                </a:prstGeom>
                                <a:noFill/>
                                <a:ln w="9525">
                                  <a:solidFill>
                                    <a:srgbClr val="000000"/>
                                  </a:solidFill>
                                  <a:round/>
                                  <a:tailEnd type="triangle" w="med" len="med"/>
                                </a:ln>
                              </wps:spPr>
                              <wps:bodyPr/>
                            </wps:wsp>
                            <wps:wsp>
                              <wps:cNvPr id="15" name="AutoShape 866"/>
                              <wps:cNvCnPr>
                                <a:cxnSpLocks noChangeShapeType="1"/>
                                <a:stCxn id="4" idx="2"/>
                              </wps:cNvCnPr>
                              <wps:spPr bwMode="auto">
                                <a:xfrm>
                                  <a:off x="917575" y="1032510"/>
                                  <a:ext cx="0" cy="232410"/>
                                </a:xfrm>
                                <a:prstGeom prst="straightConnector1">
                                  <a:avLst/>
                                </a:prstGeom>
                                <a:noFill/>
                                <a:ln w="9525">
                                  <a:solidFill>
                                    <a:srgbClr val="000000"/>
                                  </a:solidFill>
                                  <a:prstDash val="dash"/>
                                  <a:round/>
                                  <a:tailEnd type="triangle" w="med" len="med"/>
                                </a:ln>
                              </wps:spPr>
                              <wps:bodyPr/>
                            </wps:wsp>
                            <wps:wsp>
                              <wps:cNvPr id="16" name="Text Box 867"/>
                              <wps:cNvSpPr txBox="1">
                                <a:spLocks noChangeArrowheads="1"/>
                              </wps:cNvSpPr>
                              <wps:spPr bwMode="auto">
                                <a:xfrm>
                                  <a:off x="313689" y="1264920"/>
                                  <a:ext cx="1453695" cy="318770"/>
                                </a:xfrm>
                                <a:prstGeom prst="rect">
                                  <a:avLst/>
                                </a:prstGeom>
                                <a:noFill/>
                                <a:ln>
                                  <a:noFill/>
                                </a:ln>
                              </wps:spPr>
                              <wps:txbx>
                                <w:txbxContent>
                                  <w:p>
                                    <w:pPr>
                                      <w:pStyle w:val="253"/>
                                    </w:pPr>
                                    <w:r>
                                      <w:rPr>
                                        <w:rFonts w:hint="eastAsia"/>
                                      </w:rPr>
                                      <w:t>G</w:t>
                                    </w:r>
                                    <w:r>
                                      <w:t>3</w:t>
                                    </w:r>
                                    <w:r>
                                      <w:rPr>
                                        <w:rFonts w:hint="eastAsia"/>
                                      </w:rPr>
                                      <w:t>-</w:t>
                                    </w:r>
                                    <w:r>
                                      <w:t>1</w:t>
                                    </w:r>
                                    <w:r>
                                      <w:rPr>
                                        <w:rFonts w:hint="eastAsia"/>
                                      </w:rPr>
                                      <w:t>、S</w:t>
                                    </w:r>
                                    <w:r>
                                      <w:t>3</w:t>
                                    </w:r>
                                    <w:r>
                                      <w:rPr>
                                        <w:rFonts w:hint="eastAsia"/>
                                      </w:rPr>
                                      <w:t>-</w:t>
                                    </w:r>
                                    <w:r>
                                      <w:t>1</w:t>
                                    </w:r>
                                    <w:r>
                                      <w:rPr>
                                        <w:rFonts w:hint="eastAsia"/>
                                      </w:rPr>
                                      <w:t>、S</w:t>
                                    </w:r>
                                    <w:r>
                                      <w:t>3</w:t>
                                    </w:r>
                                    <w:r>
                                      <w:rPr>
                                        <w:rFonts w:hint="eastAsia"/>
                                      </w:rPr>
                                      <w:t>-</w:t>
                                    </w:r>
                                    <w:r>
                                      <w:t>2</w:t>
                                    </w:r>
                                  </w:p>
                                </w:txbxContent>
                              </wps:txbx>
                              <wps:bodyPr rot="0" vert="horz" wrap="square" lIns="91440" tIns="45720" rIns="91440" bIns="45720" anchor="t" anchorCtr="0" upright="1">
                                <a:noAutofit/>
                              </wps:bodyPr>
                            </wps:wsp>
                            <wps:wsp>
                              <wps:cNvPr id="17" name="Text Box 868"/>
                              <wps:cNvSpPr txBox="1">
                                <a:spLocks noChangeArrowheads="1"/>
                              </wps:cNvSpPr>
                              <wps:spPr bwMode="auto">
                                <a:xfrm>
                                  <a:off x="3741420" y="652145"/>
                                  <a:ext cx="1329690" cy="293370"/>
                                </a:xfrm>
                                <a:prstGeom prst="rect">
                                  <a:avLst/>
                                </a:prstGeom>
                                <a:noFill/>
                                <a:ln>
                                  <a:noFill/>
                                </a:ln>
                              </wps:spPr>
                              <wps:txbx>
                                <w:txbxContent>
                                  <w:p>
                                    <w:pPr>
                                      <w:pStyle w:val="253"/>
                                    </w:pPr>
                                    <w:r>
                                      <w:rPr>
                                        <w:rFonts w:hint="eastAsia"/>
                                      </w:rPr>
                                      <w:t>G</w:t>
                                    </w:r>
                                    <w:r>
                                      <w:t>3</w:t>
                                    </w:r>
                                    <w:r>
                                      <w:rPr>
                                        <w:rFonts w:hint="eastAsia"/>
                                      </w:rPr>
                                      <w:t>-</w:t>
                                    </w:r>
                                    <w:r>
                                      <w:t>2</w:t>
                                    </w:r>
                                    <w:r>
                                      <w:rPr>
                                        <w:rFonts w:hint="eastAsia"/>
                                      </w:rPr>
                                      <w:t>、</w:t>
                                    </w:r>
                                    <w:r>
                                      <w:t>S3</w:t>
                                    </w:r>
                                    <w:r>
                                      <w:rPr>
                                        <w:rFonts w:hint="eastAsia"/>
                                      </w:rPr>
                                      <w:t>-</w:t>
                                    </w:r>
                                    <w:r>
                                      <w:t>3</w:t>
                                    </w:r>
                                    <w:r>
                                      <w:rPr>
                                        <w:rFonts w:hint="eastAsia"/>
                                      </w:rPr>
                                      <w:t>、</w:t>
                                    </w:r>
                                    <w:r>
                                      <w:t>S3</w:t>
                                    </w:r>
                                    <w:r>
                                      <w:rPr>
                                        <w:rFonts w:hint="eastAsia"/>
                                      </w:rPr>
                                      <w:t>-</w:t>
                                    </w:r>
                                    <w:r>
                                      <w:t>4</w:t>
                                    </w:r>
                                  </w:p>
                                </w:txbxContent>
                              </wps:txbx>
                              <wps:bodyPr rot="0" vert="horz" wrap="square" lIns="91440" tIns="45720" rIns="91440" bIns="45720" anchor="t" anchorCtr="0" upright="1">
                                <a:noAutofit/>
                              </wps:bodyPr>
                            </wps:wsp>
                            <wps:wsp>
                              <wps:cNvPr id="18" name="AutoShape 869"/>
                              <wps:cNvCnPr>
                                <a:cxnSpLocks noChangeShapeType="1"/>
                                <a:stCxn id="2" idx="3"/>
                                <a:endCxn id="17" idx="1"/>
                              </wps:cNvCnPr>
                              <wps:spPr bwMode="auto">
                                <a:xfrm>
                                  <a:off x="3301365" y="798830"/>
                                  <a:ext cx="440055" cy="635"/>
                                </a:xfrm>
                                <a:prstGeom prst="straightConnector1">
                                  <a:avLst/>
                                </a:prstGeom>
                                <a:noFill/>
                                <a:ln w="9525">
                                  <a:solidFill>
                                    <a:srgbClr val="000000"/>
                                  </a:solidFill>
                                  <a:prstDash val="dash"/>
                                  <a:round/>
                                  <a:tailEnd type="triangle" w="med" len="med"/>
                                </a:ln>
                              </wps:spPr>
                              <wps:bodyPr/>
                            </wps:wsp>
                            <wps:wsp>
                              <wps:cNvPr id="19" name="Text Box 870"/>
                              <wps:cNvSpPr txBox="1">
                                <a:spLocks noChangeArrowheads="1"/>
                              </wps:cNvSpPr>
                              <wps:spPr bwMode="auto">
                                <a:xfrm>
                                  <a:off x="3393440" y="3107690"/>
                                  <a:ext cx="934720" cy="293370"/>
                                </a:xfrm>
                                <a:prstGeom prst="rect">
                                  <a:avLst/>
                                </a:prstGeom>
                                <a:noFill/>
                                <a:ln>
                                  <a:noFill/>
                                </a:ln>
                              </wps:spPr>
                              <wps:txbx>
                                <w:txbxContent>
                                  <w:p>
                                    <w:pPr>
                                      <w:pStyle w:val="253"/>
                                    </w:pPr>
                                    <w:r>
                                      <w:t>S3</w:t>
                                    </w:r>
                                    <w:r>
                                      <w:rPr>
                                        <w:rFonts w:hint="eastAsia"/>
                                      </w:rPr>
                                      <w:t>-</w:t>
                                    </w:r>
                                    <w:r>
                                      <w:t>5</w:t>
                                    </w:r>
                                    <w:r>
                                      <w:rPr>
                                        <w:rFonts w:hint="eastAsia"/>
                                      </w:rPr>
                                      <w:t>、</w:t>
                                    </w:r>
                                    <w:r>
                                      <w:t>W3</w:t>
                                    </w:r>
                                    <w:r>
                                      <w:rPr>
                                        <w:rFonts w:hint="eastAsia"/>
                                      </w:rPr>
                                      <w:t>-</w:t>
                                    </w:r>
                                    <w:r>
                                      <w:t>1</w:t>
                                    </w:r>
                                  </w:p>
                                </w:txbxContent>
                              </wps:txbx>
                              <wps:bodyPr rot="0" vert="horz" wrap="square" lIns="91440" tIns="45720" rIns="91440" bIns="45720" anchor="t" anchorCtr="0" upright="1">
                                <a:noAutofit/>
                              </wps:bodyPr>
                            </wps:wsp>
                            <wps:wsp>
                              <wps:cNvPr id="20" name="AutoShape 871"/>
                              <wps:cNvCnPr>
                                <a:cxnSpLocks noChangeShapeType="1"/>
                                <a:stCxn id="10" idx="3"/>
                                <a:endCxn id="19" idx="1"/>
                              </wps:cNvCnPr>
                              <wps:spPr bwMode="auto">
                                <a:xfrm>
                                  <a:off x="2947035" y="3254375"/>
                                  <a:ext cx="446405" cy="635"/>
                                </a:xfrm>
                                <a:prstGeom prst="straightConnector1">
                                  <a:avLst/>
                                </a:prstGeom>
                                <a:noFill/>
                                <a:ln w="9525">
                                  <a:solidFill>
                                    <a:srgbClr val="000000"/>
                                  </a:solidFill>
                                  <a:prstDash val="dash"/>
                                  <a:round/>
                                  <a:tailEnd type="triangle" w="med" len="med"/>
                                </a:ln>
                              </wps:spPr>
                              <wps:bodyPr/>
                            </wps:wsp>
                            <wps:wsp>
                              <wps:cNvPr id="21" name="Text Box 872"/>
                              <wps:cNvSpPr txBox="1">
                                <a:spLocks noChangeArrowheads="1"/>
                              </wps:cNvSpPr>
                              <wps:spPr bwMode="auto">
                                <a:xfrm>
                                  <a:off x="58420" y="2653665"/>
                                  <a:ext cx="902335" cy="756285"/>
                                </a:xfrm>
                                <a:prstGeom prst="rect">
                                  <a:avLst/>
                                </a:prstGeom>
                                <a:noFill/>
                                <a:ln>
                                  <a:noFill/>
                                </a:ln>
                              </wps:spPr>
                              <wps:txbx>
                                <w:txbxContent>
                                  <w:p>
                                    <w:pPr>
                                      <w:pStyle w:val="253"/>
                                    </w:pPr>
                                    <w:r>
                                      <w:rPr>
                                        <w:rFonts w:hint="eastAsia"/>
                                      </w:rPr>
                                      <w:t>图 例</w:t>
                                    </w:r>
                                  </w:p>
                                  <w:p>
                                    <w:pPr>
                                      <w:pStyle w:val="253"/>
                                    </w:pPr>
                                    <w:r>
                                      <w:rPr>
                                        <w:rFonts w:hint="eastAsia"/>
                                      </w:rPr>
                                      <w:t>S：固废</w:t>
                                    </w:r>
                                  </w:p>
                                  <w:p>
                                    <w:pPr>
                                      <w:pStyle w:val="253"/>
                                    </w:pPr>
                                    <w:r>
                                      <w:rPr>
                                        <w:rFonts w:hint="eastAsia"/>
                                      </w:rPr>
                                      <w:t>W：废水</w:t>
                                    </w:r>
                                  </w:p>
                                  <w:p>
                                    <w:pPr>
                                      <w:pStyle w:val="253"/>
                                    </w:pPr>
                                    <w:r>
                                      <w:rPr>
                                        <w:rFonts w:hint="eastAsia"/>
                                      </w:rPr>
                                      <w:t>G：废气</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75.95pt;width:422.65pt;" coordsize="5367655,3504565" editas="canvas" o:gfxdata="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Jl6VtTYAAAABQEAAA8AAAAAAAAAAQAgAAAAIgAAAGRycy9kb3ducmV2LnhtbFBLAQIUABQA&#10;AAAIAIdO4kCDym7pnQYAACkzAAAOAAAAAAAAAAEAIAAAACcBAABkcnMvZTJvRG9jLnhtbFBLBQYA&#10;AAAABgAGAFkBAAA2CgAAAAA=&#10;">
                      <o:lock v:ext="edit" aspectratio="f"/>
                      <v:shape id="_x0000_s1026" o:spid="_x0000_s1026" style="position:absolute;left:0;top:0;height:3504565;width:5367655;" filled="f" stroked="f" coordsize="21600,21600" o:gfxdata="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">
                        <v:fill on="f" focussize="0,0"/>
                        <v:stroke on="f"/>
                        <v:imagedata o:title=""/>
                        <o:lock v:ext="edit" aspectratio="t"/>
                      </v:shape>
                      <v:shape id="Text Box 853" o:spid="_x0000_s1026" o:spt="202" type="#_x0000_t202" style="position:absolute;left:2093595;top:125730;height:293370;width:1207770;" fillcolor="#FFFFFF" filled="t" stroked="t" coordsize="21600,21600" o:gfxdata="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lnOr1gAAAAUBAAAPAAAAAAAAAAEAIAAAACIAAABkcnMvZG93&#10;bnJldi54bWxQSwECFAAUAAAACACHTuJA4RZvAzsCAACTBAAADgAAAAAAAAABACAAAAAlAQAAZHJz&#10;L2Uyb0RvYy54bWxQSwUGAAAAAAYABgBZAQAA0gUAAAAA&#10;">
                        <v:fill on="t" focussize="0,0"/>
                        <v:stroke color="#000000" miterlimit="8" joinstyle="miter"/>
                        <v:imagedata o:title=""/>
                        <o:lock v:ext="edit" aspectratio="f"/>
                        <v:textbox>
                          <w:txbxContent>
                            <w:p>
                              <w:pPr>
                                <w:pStyle w:val="253"/>
                              </w:pPr>
                              <w:r>
                                <w:rPr>
                                  <w:rFonts w:hint="eastAsia"/>
                                </w:rPr>
                                <w:t>样品采集</w:t>
                              </w:r>
                            </w:p>
                          </w:txbxContent>
                        </v:textbox>
                      </v:shape>
                      <v:shape id="Text Box 854" o:spid="_x0000_s1026" o:spt="202" type="#_x0000_t202" style="position:absolute;left:2093595;top:652145;height:293370;width:1207770;" fillcolor="#FFFFFF" filled="t" stroked="t" coordsize="21600,21600" o:gfxdata="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pZzq9YAAAAFAQAADwAAAAAAAAABACAAAAAiAAAAZHJzL2Rv&#10;d25yZXYueG1sUEsBAhQAFAAAAAgAh07iQOSZkBM8AgAAkwQAAA4AAAAAAAAAAQAgAAAAJQEAAGRy&#10;cy9lMm9Eb2MueG1sUEsFBgAAAAAGAAYAWQEAANMFAAAAAA==&#10;">
                        <v:fill on="t" focussize="0,0"/>
                        <v:stroke color="#000000" miterlimit="8" joinstyle="miter"/>
                        <v:imagedata o:title=""/>
                        <o:lock v:ext="edit" aspectratio="f"/>
                        <v:textbox>
                          <w:txbxContent>
                            <w:p>
                              <w:pPr>
                                <w:pStyle w:val="253"/>
                              </w:pPr>
                              <w:r>
                                <w:rPr>
                                  <w:rFonts w:hint="eastAsia"/>
                                </w:rPr>
                                <w:t>开展实验</w:t>
                              </w:r>
                            </w:p>
                          </w:txbxContent>
                        </v:textbox>
                      </v:shape>
                      <v:shape id="Text Box 855" o:spid="_x0000_s1026" o:spt="202" type="#_x0000_t202" style="position:absolute;left:313690;top:566420;height:466090;width:1207770;" fillcolor="#FFFFFF" filled="t" stroked="t" coordsize="21600,21600" o:gfxdata="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lnOr1gAAAAUBAAAPAAAAAAAAAAEAIAAAACIAAABkcnMvZG93&#10;bnJldi54bWxQSwECFAAUAAAACACHTuJA2RzIhDsCAACSBAAADgAAAAAAAAABACAAAAAlAQAAZHJz&#10;L2Uyb0RvYy54bWxQSwUGAAAAAAYABgBZAQAA0gUAAAAA&#10;">
                        <v:fill on="t" focussize="0,0"/>
                        <v:stroke color="#000000" miterlimit="8" joinstyle="miter"/>
                        <v:imagedata o:title=""/>
                        <o:lock v:ext="edit" aspectratio="f"/>
                        <v:textbox>
                          <w:txbxContent>
                            <w:p>
                              <w:pPr>
                                <w:pStyle w:val="253"/>
                              </w:pPr>
                              <w:r>
                                <w:rPr>
                                  <w:rFonts w:hint="eastAsia"/>
                                </w:rPr>
                                <w:t>准备实验材料</w:t>
                              </w:r>
                            </w:p>
                            <w:p>
                              <w:pPr>
                                <w:pStyle w:val="253"/>
                              </w:pPr>
                              <w:r>
                                <w:rPr>
                                  <w:rFonts w:hint="eastAsia"/>
                                </w:rPr>
                                <w:t>（药剂/仪器等）</w:t>
                              </w:r>
                            </w:p>
                          </w:txbxContent>
                        </v:textbox>
                      </v:shape>
                      <v:shape id="Text Box 856" o:spid="_x0000_s1026" o:spt="202" type="#_x0000_t202" style="position:absolute;left:2093595;top:1203960;height:664210;width:1207770;" fillcolor="#FFFFFF" filled="t" stroked="t" coordsize="21600,21600" o:gfxdata="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pZzq9YAAAAFAQAADwAAAAAAAAABACAAAAAiAAAAZHJzL2Rv&#10;d25yZXYueG1sUEsBAhQAFAAAAAgAh07iQEe5S7Y8AgAAlAQAAA4AAAAAAAAAAQAgAAAAJQEAAGRy&#10;cy9lMm9Eb2MueG1sUEsFBgAAAAAGAAYAWQEAANMFAAAAAA==&#10;">
                        <v:fill on="t" focussize="0,0"/>
                        <v:stroke color="#000000" miterlimit="8" joinstyle="miter"/>
                        <v:imagedata o:title=""/>
                        <o:lock v:ext="edit" aspectratio="f"/>
                        <v:textbox>
                          <w:txbxContent>
                            <w:p>
                              <w:pPr>
                                <w:pStyle w:val="253"/>
                              </w:pPr>
                              <w:r>
                                <w:rPr>
                                  <w:rFonts w:hint="eastAsia"/>
                                </w:rPr>
                                <w:t>检测分析</w:t>
                              </w:r>
                            </w:p>
                            <w:p>
                              <w:pPr>
                                <w:pStyle w:val="253"/>
                              </w:pPr>
                              <w:r>
                                <w:rPr>
                                  <w:rFonts w:hint="eastAsia"/>
                                </w:rPr>
                                <w:t>（在</w:t>
                              </w:r>
                              <w:r>
                                <w:t>三</w:t>
                              </w:r>
                              <w:r>
                                <w:rPr>
                                  <w:rFonts w:hint="eastAsia"/>
                                </w:rPr>
                                <w:t>、</w:t>
                              </w:r>
                              <w:r>
                                <w:t>四层检测实验室进行</w:t>
                              </w:r>
                              <w:r>
                                <w:rPr>
                                  <w:rFonts w:hint="eastAsia"/>
                                </w:rPr>
                                <w:t>）</w:t>
                              </w:r>
                            </w:p>
                          </w:txbxContent>
                        </v:textbox>
                      </v:shape>
                      <v:shape id="AutoShape 857" o:spid="_x0000_s1026" o:spt="32" type="#_x0000_t32" style="position:absolute;left:1521460;top:798830;flip:y;height:635;width:572135;" filled="f" stroked="t" coordsize="21600,21600" o:gfxdata="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vqZz9YAAAAFAQAA&#10;DwAAAAAAAAABACAAAAAiAAAAZHJzL2Rvd25yZXYueG1sUEsBAhQAFAAAAAgAh07iQKnIVHkbAgAA&#10;KwQAAA4AAAAAAAAAAQAgAAAAJQEAAGRycy9lMm9Eb2MueG1sUEsFBgAAAAAGAAYAWQEAALIFAAAA&#10;AA==&#10;">
                        <v:fill on="f" focussize="0,0"/>
                        <v:stroke color="#000000" joinstyle="round" endarrow="block"/>
                        <v:imagedata o:title=""/>
                        <o:lock v:ext="edit" aspectratio="f"/>
                      </v:shape>
                      <v:shape id="AutoShape 858" o:spid="_x0000_s1026" o:spt="32" type="#_x0000_t32" style="position:absolute;left:2697480;top:419100;height:233045;width:635;" filled="f" stroked="t" coordsize="21600,21600" o:gfxdata="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5msbHYAAAABQEAAA8AAAAA&#10;AAAAAQAgAAAAIgAAAGRycy9kb3ducmV2LnhtbFBLAQIUABQAAAAIAIdO4kBmzoi3FAIAACEEAAAO&#10;AAAAAAAAAAEAIAAAACcBAABkcnMvZTJvRG9jLnhtbFBLBQYAAAAABgAGAFkBAACtBQAAAAA=&#10;">
                        <v:fill on="f" focussize="0,0"/>
                        <v:stroke color="#000000" joinstyle="round" endarrow="block"/>
                        <v:imagedata o:title=""/>
                        <o:lock v:ext="edit" aspectratio="f"/>
                      </v:shape>
                      <v:shape id="AutoShape 859" o:spid="_x0000_s1026" o:spt="32" type="#_x0000_t32" style="position:absolute;left:2697480;top:945515;height:258445;width:635;" filled="f" stroked="t" coordsize="21600,21600" o:gfxdata="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maxsdgAAAAFAQAADwAAAAAA&#10;AAABACAAAAAiAAAAZHJzL2Rvd25yZXYueG1sUEsBAhQAFAAAAAgAh07iQCR2UGQTAgAAIQQAAA4A&#10;AAAAAAAAAQAgAAAAJwEAAGRycy9lMm9Eb2MueG1sUEsFBgAAAAAGAAYAWQEAAKwFAAAAAA==&#10;">
                        <v:fill on="f" focussize="0,0"/>
                        <v:stroke color="#000000" joinstyle="round" endarrow="block"/>
                        <v:imagedata o:title=""/>
                        <o:lock v:ext="edit" aspectratio="f"/>
                      </v:shape>
                      <v:shape id="Text Box 860" o:spid="_x0000_s1026" o:spt="202" type="#_x0000_t202" style="position:absolute;left:2698115;top:2127250;height:293370;width:923925;" fillcolor="#FFFFFF" filled="t" stroked="t" coordsize="21600,21600" o:gfxdata="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pZzq9YAAAAFAQAADwAAAAAAAAABACAAAAAiAAAAZHJzL2Rvd25y&#10;ZXYueG1sUEsBAhQAFAAAAAgAh07iQDGmYXQ5AgAAkwQAAA4AAAAAAAAAAQAgAAAAJQEAAGRycy9l&#10;Mm9Eb2MueG1sUEsFBgAAAAAGAAYAWQEAANAFAAAAAA==&#10;">
                        <v:fill on="t" focussize="0,0"/>
                        <v:stroke color="#000000" miterlimit="8" joinstyle="miter"/>
                        <v:imagedata o:title=""/>
                        <o:lock v:ext="edit" aspectratio="f"/>
                        <v:textbox>
                          <w:txbxContent>
                            <w:p>
                              <w:pPr>
                                <w:pStyle w:val="253"/>
                              </w:pPr>
                              <w:r>
                                <w:rPr>
                                  <w:rFonts w:hint="eastAsia"/>
                                </w:rPr>
                                <w:t>数据分析</w:t>
                              </w:r>
                            </w:p>
                          </w:txbxContent>
                        </v:textbox>
                      </v:shape>
                      <v:shape id="Text Box 861" o:spid="_x0000_s1026" o:spt="202" type="#_x0000_t202" style="position:absolute;left:1783080;top:3107690;height:293370;width:1163955;" fillcolor="#FFFFFF" filled="t" stroked="t" coordsize="21600,21600" o:gfxdata="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lnOr1gAAAAUBAAAPAAAAAAAAAAEAIAAAACIAAABkcnMv&#10;ZG93bnJldi54bWxQSwECFAAUAAAACACHTuJAOKOkYj4CAACVBAAADgAAAAAAAAABACAAAAAlAQAA&#10;ZHJzL2Uyb0RvYy54bWxQSwUGAAAAAAYABgBZAQAA1QUAAAAA&#10;">
                        <v:fill on="t" focussize="0,0"/>
                        <v:stroke color="#000000" miterlimit="8" joinstyle="miter"/>
                        <v:imagedata o:title=""/>
                        <o:lock v:ext="edit" aspectratio="f"/>
                        <v:textbox>
                          <w:txbxContent>
                            <w:p>
                              <w:pPr>
                                <w:pStyle w:val="253"/>
                              </w:pPr>
                              <w:r>
                                <w:rPr>
                                  <w:rFonts w:hint="eastAsia"/>
                                </w:rPr>
                                <w:t>仪器/器皿清洗</w:t>
                              </w:r>
                            </w:p>
                          </w:txbxContent>
                        </v:textbox>
                      </v:shape>
                      <v:shape id="Text Box 862" o:spid="_x0000_s1026" o:spt="202" type="#_x0000_t202" style="position:absolute;left:2698115;top:2653665;height:293370;width:923925;" filled="f" stroked="f" coordsize="21600,21600" o:gfxdata="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pS8W1AAAAAUBAAAPAAAAAAAAAAEA&#10;IAAAACIAAABkcnMvZG93bnJldi54bWxQSwECFAAUAAAACACHTuJAgriefBMCAAAiBAAADgAAAAAA&#10;AAABACAAAAAjAQAAZHJzL2Uyb0RvYy54bWxQSwUGAAAAAAYABgBZAQAAqAUAAAAA&#10;">
                        <v:fill on="f" focussize="0,0"/>
                        <v:stroke on="f"/>
                        <v:imagedata o:title=""/>
                        <o:lock v:ext="edit" aspectratio="f"/>
                        <v:textbox>
                          <w:txbxContent>
                            <w:p>
                              <w:pPr>
                                <w:pStyle w:val="253"/>
                              </w:pPr>
                              <w:r>
                                <w:rPr>
                                  <w:rFonts w:hint="eastAsia"/>
                                </w:rPr>
                                <w:t>科研成果</w:t>
                              </w:r>
                            </w:p>
                          </w:txbxContent>
                        </v:textbox>
                      </v:shape>
                      <v:shape id="AutoShape 863" o:spid="_x0000_s1026" o:spt="32" type="#_x0000_t32" style="position:absolute;left:3160395;top:2420620;height:233045;width:635;" filled="f" stroked="t" coordsize="21600,21600" o:gfxdata="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5msbHYAAAABQEAAA8AAAAA&#10;AAAAAQAgAAAAIgAAAGRycy9kb3ducmV2LnhtbFBLAQIUABQAAAAIAIdO4kAPFDpPFAIAACQEAAAO&#10;AAAAAAAAAAEAIAAAACcBAABkcnMvZTJvRG9jLnhtbFBLBQYAAAAABgAGAFkBAACtBQAAAAA=&#10;">
                        <v:fill on="f" focussize="0,0"/>
                        <v:stroke color="#000000" joinstyle="round" endarrow="block"/>
                        <v:imagedata o:title=""/>
                        <o:lock v:ext="edit" aspectratio="f"/>
                      </v:shape>
                      <v:shape id="AutoShape 864" o:spid="_x0000_s1026" o:spt="32" type="#_x0000_t32" style="position:absolute;left:3160395;top:1868170;flip:x;height:259080;width:635;" filled="f" stroked="t" coordsize="21600,21600" o:gfxdata="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P1gAAAAUBAAAPAAAAAAAA&#10;AAEAIAAAACIAAABkcnMvZG93bnJldi54bWxQSwECFAAUAAAACACHTuJA2t6U9hQCAAAUBAAADgAA&#10;AAAAAAABACAAAAAlAQAAZHJzL2Uyb0RvYy54bWxQSwUGAAAAAAYABgBZAQAAqwUAAAAA&#10;">
                        <v:fill on="f" focussize="0,0"/>
                        <v:stroke color="#000000" joinstyle="round" endarrow="block"/>
                        <v:imagedata o:title=""/>
                        <o:lock v:ext="edit" aspectratio="f"/>
                      </v:shape>
                      <v:shape id="AutoShape 865" o:spid="_x0000_s1026" o:spt="32" type="#_x0000_t32" style="position:absolute;left:2365375;top:1868170;flip:x;height:1239520;width:4445;" filled="f" stroked="t" coordsize="21600,21600" o:gfxdata="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pnP1gAAAAUBAAAPAAAAAAAA&#10;AAEAIAAAACIAAABkcnMvZG93bnJldi54bWxQSwECFAAUAAAACACHTuJAW+0tWxQCAAAXBAAADgAA&#10;AAAAAAABACAAAAAlAQAAZHJzL2Uyb0RvYy54bWxQSwUGAAAAAAYABgBZAQAAqwUAAAAA&#10;">
                        <v:fill on="f" focussize="0,0"/>
                        <v:stroke color="#000000" joinstyle="round" endarrow="block"/>
                        <v:imagedata o:title=""/>
                        <o:lock v:ext="edit" aspectratio="f"/>
                      </v:shape>
                      <v:shape id="AutoShape 866" o:spid="_x0000_s1026" o:spt="32" type="#_x0000_t32" style="position:absolute;left:917575;top:1032510;height:232410;width:0;" filled="f" stroked="t" coordsize="21600,21600" o:gfxdata="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uYJK0wAAAAUBAAAPAAAAAAAAAAEA&#10;IAAAACIAAABkcnMvZG93bnJldi54bWxQSwECFAAUAAAACACHTuJADW/EQBQCAAAeBAAADgAAAAAA&#10;AAABACAAAAAiAQAAZHJzL2Uyb0RvYy54bWxQSwUGAAAAAAYABgBZAQAAqAUAAAAA&#10;">
                        <v:fill on="f" focussize="0,0"/>
                        <v:stroke color="#000000" joinstyle="round" dashstyle="dash" endarrow="block"/>
                        <v:imagedata o:title=""/>
                        <o:lock v:ext="edit" aspectratio="f"/>
                      </v:shape>
                      <v:shape id="Text Box 867" o:spid="_x0000_s1026" o:spt="202" type="#_x0000_t202" style="position:absolute;left:313689;top:1264920;height:318770;width:1453695;" filled="f" stroked="f" coordsize="21600,21600" o:gfxdata="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aUvFtQAAAAFAQAADwAAAAAAAAAB&#10;ACAAAAAiAAAAZHJzL2Rvd25yZXYueG1sUEsBAhQAFAAAAAgAh07iQIf+iwkUAgAAIgQAAA4AAAAA&#10;AAAAAQAgAAAAIwEAAGRycy9lMm9Eb2MueG1sUEsFBgAAAAAGAAYAWQEAAKkFAAAAAA==&#10;">
                        <v:fill on="f" focussize="0,0"/>
                        <v:stroke on="f"/>
                        <v:imagedata o:title=""/>
                        <o:lock v:ext="edit" aspectratio="f"/>
                        <v:textbox>
                          <w:txbxContent>
                            <w:p>
                              <w:pPr>
                                <w:pStyle w:val="253"/>
                              </w:pPr>
                              <w:r>
                                <w:rPr>
                                  <w:rFonts w:hint="eastAsia"/>
                                </w:rPr>
                                <w:t>G</w:t>
                              </w:r>
                              <w:r>
                                <w:t>3</w:t>
                              </w:r>
                              <w:r>
                                <w:rPr>
                                  <w:rFonts w:hint="eastAsia"/>
                                </w:rPr>
                                <w:t>-</w:t>
                              </w:r>
                              <w:r>
                                <w:t>1</w:t>
                              </w:r>
                              <w:r>
                                <w:rPr>
                                  <w:rFonts w:hint="eastAsia"/>
                                </w:rPr>
                                <w:t>、S</w:t>
                              </w:r>
                              <w:r>
                                <w:t>3</w:t>
                              </w:r>
                              <w:r>
                                <w:rPr>
                                  <w:rFonts w:hint="eastAsia"/>
                                </w:rPr>
                                <w:t>-</w:t>
                              </w:r>
                              <w:r>
                                <w:t>1</w:t>
                              </w:r>
                              <w:r>
                                <w:rPr>
                                  <w:rFonts w:hint="eastAsia"/>
                                </w:rPr>
                                <w:t>、S</w:t>
                              </w:r>
                              <w:r>
                                <w:t>3</w:t>
                              </w:r>
                              <w:r>
                                <w:rPr>
                                  <w:rFonts w:hint="eastAsia"/>
                                </w:rPr>
                                <w:t>-</w:t>
                              </w:r>
                              <w:r>
                                <w:t>2</w:t>
                              </w:r>
                            </w:p>
                          </w:txbxContent>
                        </v:textbox>
                      </v:shape>
                      <v:shape id="Text Box 868" o:spid="_x0000_s1026" o:spt="202" type="#_x0000_t202" style="position:absolute;left:3741420;top:652145;height:293370;width:1329690;" filled="f" stroked="f" coordsize="21600,21600" o:gfxdata="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aUvFtQAAAAFAQAADwAAAAAAAAAB&#10;ACAAAAAiAAAAZHJzL2Rvd25yZXYueG1sUEsBAhQAFAAAAAgAh07iQCmgzywUAgAAIgQAAA4AAAAA&#10;AAAAAQAgAAAAIwEAAGRycy9lMm9Eb2MueG1sUEsFBgAAAAAGAAYAWQEAAKkFAAAAAA==&#10;">
                        <v:fill on="f" focussize="0,0"/>
                        <v:stroke on="f"/>
                        <v:imagedata o:title=""/>
                        <o:lock v:ext="edit" aspectratio="f"/>
                        <v:textbox>
                          <w:txbxContent>
                            <w:p>
                              <w:pPr>
                                <w:pStyle w:val="253"/>
                              </w:pPr>
                              <w:r>
                                <w:rPr>
                                  <w:rFonts w:hint="eastAsia"/>
                                </w:rPr>
                                <w:t>G</w:t>
                              </w:r>
                              <w:r>
                                <w:t>3</w:t>
                              </w:r>
                              <w:r>
                                <w:rPr>
                                  <w:rFonts w:hint="eastAsia"/>
                                </w:rPr>
                                <w:t>-</w:t>
                              </w:r>
                              <w:r>
                                <w:t>2</w:t>
                              </w:r>
                              <w:r>
                                <w:rPr>
                                  <w:rFonts w:hint="eastAsia"/>
                                </w:rPr>
                                <w:t>、</w:t>
                              </w:r>
                              <w:r>
                                <w:t>S3</w:t>
                              </w:r>
                              <w:r>
                                <w:rPr>
                                  <w:rFonts w:hint="eastAsia"/>
                                </w:rPr>
                                <w:t>-</w:t>
                              </w:r>
                              <w:r>
                                <w:t>3</w:t>
                              </w:r>
                              <w:r>
                                <w:rPr>
                                  <w:rFonts w:hint="eastAsia"/>
                                </w:rPr>
                                <w:t>、</w:t>
                              </w:r>
                              <w:r>
                                <w:t>S3</w:t>
                              </w:r>
                              <w:r>
                                <w:rPr>
                                  <w:rFonts w:hint="eastAsia"/>
                                </w:rPr>
                                <w:t>-</w:t>
                              </w:r>
                              <w:r>
                                <w:t>4</w:t>
                              </w:r>
                            </w:p>
                          </w:txbxContent>
                        </v:textbox>
                      </v:shape>
                      <v:shape id="AutoShape 869" o:spid="_x0000_s1026" o:spt="32" type="#_x0000_t32" style="position:absolute;left:3301365;top:798830;height:635;width:440055;" filled="f" stroked="t" coordsize="21600,21600" o:gfxdata="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m5gkrTAAAABQEA&#10;AA8AAAAAAAAAAQAgAAAAIgAAAGRycy9kb3ducmV2LnhtbFBLAQIUABQAAAAIAIdO4kB93ncfHwIA&#10;ADsEAAAOAAAAAAAAAAEAIAAAACIBAABkcnMvZTJvRG9jLnhtbFBLBQYAAAAABgAGAFkBAACzBQAA&#10;AAA=&#10;">
                        <v:fill on="f" focussize="0,0"/>
                        <v:stroke color="#000000" joinstyle="round" dashstyle="dash" endarrow="block"/>
                        <v:imagedata o:title=""/>
                        <o:lock v:ext="edit" aspectratio="f"/>
                      </v:shape>
                      <v:shape id="Text Box 870" o:spid="_x0000_s1026" o:spt="202" type="#_x0000_t202" style="position:absolute;left:3393440;top:3107690;height:293370;width:934720;" filled="f" stroked="f" coordsize="21600,21600" o:gfxdata="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WlLxbUAAAABQEAAA8AAAAAAAAAAQAgAAAA&#10;IgAAAGRycy9kb3ducmV2LnhtbFBLAQIUABQAAAAIAIdO4kCWEHhMDwIAACIEAAAOAAAAAAAAAAEA&#10;IAAAACMBAABkcnMvZTJvRG9jLnhtbFBLBQYAAAAABgAGAFkBAACkBQAAAAA=&#10;">
                        <v:fill on="f" focussize="0,0"/>
                        <v:stroke on="f"/>
                        <v:imagedata o:title=""/>
                        <o:lock v:ext="edit" aspectratio="f"/>
                        <v:textbox>
                          <w:txbxContent>
                            <w:p>
                              <w:pPr>
                                <w:pStyle w:val="253"/>
                              </w:pPr>
                              <w:r>
                                <w:t>S3</w:t>
                              </w:r>
                              <w:r>
                                <w:rPr>
                                  <w:rFonts w:hint="eastAsia"/>
                                </w:rPr>
                                <w:t>-</w:t>
                              </w:r>
                              <w:r>
                                <w:t>5</w:t>
                              </w:r>
                              <w:r>
                                <w:rPr>
                                  <w:rFonts w:hint="eastAsia"/>
                                </w:rPr>
                                <w:t>、</w:t>
                              </w:r>
                              <w:r>
                                <w:t>W3</w:t>
                              </w:r>
                              <w:r>
                                <w:rPr>
                                  <w:rFonts w:hint="eastAsia"/>
                                </w:rPr>
                                <w:t>-</w:t>
                              </w:r>
                              <w:r>
                                <w:t>1</w:t>
                              </w:r>
                            </w:p>
                          </w:txbxContent>
                        </v:textbox>
                      </v:shape>
                      <v:shape id="AutoShape 871" o:spid="_x0000_s1026" o:spt="32" type="#_x0000_t32" style="position:absolute;left:2947035;top:3254375;height:635;width:446405;" filled="f" stroked="t" coordsize="21600,21600" o:gfxdata="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uYJK0wAAAAUB&#10;AAAPAAAAAAAAAAEAIAAAACIAAABkcnMvZG93bnJldi54bWxQSwECFAAUAAAACACHTuJAyd5EiiAC&#10;AAA9BAAADgAAAAAAAAABACAAAAAiAQAAZHJzL2Uyb0RvYy54bWxQSwUGAAAAAAYABgBZAQAAtAUA&#10;AAAA&#10;">
                        <v:fill on="f" focussize="0,0"/>
                        <v:stroke color="#000000" joinstyle="round" dashstyle="dash" endarrow="block"/>
                        <v:imagedata o:title=""/>
                        <o:lock v:ext="edit" aspectratio="f"/>
                      </v:shape>
                      <v:shape id="Text Box 872" o:spid="_x0000_s1026" o:spt="202" type="#_x0000_t202" style="position:absolute;left:58420;top:2653665;height:756285;width:902335;" filled="f" stroked="f" coordsize="21600,21600" o:gfxdata="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pS8W1AAAAAUBAAAPAAAAAAAAAAEA&#10;IAAAACIAAABkcnMvZG93bnJldi54bWxQSwECFAAUAAAACACHTuJA2nw0xRMCAAAgBAAADgAAAAAA&#10;AAABACAAAAAjAQAAZHJzL2Uyb0RvYy54bWxQSwUGAAAAAAYABgBZAQAAqAUAAAAA&#10;">
                        <v:fill on="f" focussize="0,0"/>
                        <v:stroke on="f"/>
                        <v:imagedata o:title=""/>
                        <o:lock v:ext="edit" aspectratio="f"/>
                        <v:textbox>
                          <w:txbxContent>
                            <w:p>
                              <w:pPr>
                                <w:pStyle w:val="253"/>
                              </w:pPr>
                              <w:r>
                                <w:rPr>
                                  <w:rFonts w:hint="eastAsia"/>
                                </w:rPr>
                                <w:t>图 例</w:t>
                              </w:r>
                            </w:p>
                            <w:p>
                              <w:pPr>
                                <w:pStyle w:val="253"/>
                              </w:pPr>
                              <w:r>
                                <w:rPr>
                                  <w:rFonts w:hint="eastAsia"/>
                                </w:rPr>
                                <w:t>S：固废</w:t>
                              </w:r>
                            </w:p>
                            <w:p>
                              <w:pPr>
                                <w:pStyle w:val="253"/>
                              </w:pPr>
                              <w:r>
                                <w:rPr>
                                  <w:rFonts w:hint="eastAsia"/>
                                </w:rPr>
                                <w:t>W：废水</w:t>
                              </w:r>
                            </w:p>
                            <w:p>
                              <w:pPr>
                                <w:pStyle w:val="253"/>
                              </w:pPr>
                              <w:r>
                                <w:rPr>
                                  <w:rFonts w:hint="eastAsia"/>
                                </w:rPr>
                                <w:t>G：废气</w:t>
                              </w:r>
                            </w:p>
                          </w:txbxContent>
                        </v:textbox>
                      </v:shape>
                      <w10:wrap type="none"/>
                      <w10:anchorlock/>
                    </v:group>
                  </w:pict>
                </mc:Fallback>
              </mc:AlternateContent>
            </w:r>
          </w:p>
          <w:p>
            <w:pPr>
              <w:pStyle w:val="62"/>
              <w:spacing w:line="240" w:lineRule="auto"/>
              <w:ind w:firstLine="0" w:firstLineChars="0"/>
              <w:jc w:val="center"/>
              <w:rPr>
                <w:rFonts w:eastAsia="仿宋_GB2312"/>
                <w:szCs w:val="24"/>
              </w:rPr>
            </w:pPr>
            <w:r>
              <w:rPr>
                <w:rFonts w:eastAsia="仿宋_GB2312"/>
                <w:b/>
                <w:bCs/>
                <w:szCs w:val="24"/>
              </w:rPr>
              <w:t>图5-5 科研实验的工艺流程图</w:t>
            </w:r>
          </w:p>
          <w:p>
            <w:pPr>
              <w:pStyle w:val="253"/>
              <w:rPr>
                <w:rFonts w:eastAsia="仿宋_GB2312"/>
                <w:color w:val="000000"/>
              </w:rPr>
            </w:pPr>
          </w:p>
          <w:p>
            <w:pPr>
              <w:pStyle w:val="62"/>
              <w:spacing w:line="500" w:lineRule="exact"/>
              <w:ind w:firstLine="480"/>
              <w:rPr>
                <w:rFonts w:eastAsia="仿宋_GB2312"/>
                <w:szCs w:val="24"/>
              </w:rPr>
            </w:pPr>
            <w:r>
              <w:rPr>
                <w:rFonts w:eastAsia="仿宋_GB2312"/>
                <w:szCs w:val="24"/>
              </w:rPr>
              <w:fldChar w:fldCharType="begin"/>
            </w:r>
            <w:r>
              <w:rPr>
                <w:rFonts w:eastAsia="仿宋_GB2312"/>
                <w:szCs w:val="24"/>
              </w:rPr>
              <w:instrText xml:space="preserve"> = 1 \* alphabetic </w:instrText>
            </w:r>
            <w:r>
              <w:rPr>
                <w:rFonts w:eastAsia="仿宋_GB2312"/>
                <w:szCs w:val="24"/>
              </w:rPr>
              <w:fldChar w:fldCharType="separate"/>
            </w:r>
            <w:r>
              <w:rPr>
                <w:rFonts w:eastAsia="仿宋_GB2312"/>
                <w:szCs w:val="24"/>
              </w:rPr>
              <w:t>a</w:t>
            </w:r>
            <w:r>
              <w:rPr>
                <w:rFonts w:eastAsia="仿宋_GB2312"/>
                <w:szCs w:val="24"/>
              </w:rPr>
              <w:fldChar w:fldCharType="end"/>
            </w:r>
            <w:r>
              <w:rPr>
                <w:rFonts w:eastAsia="仿宋_GB2312"/>
                <w:szCs w:val="24"/>
              </w:rPr>
              <w:t>、样品采集：根据科研课题内容，在课题所在地采集研究样品，送至实验室。</w:t>
            </w:r>
          </w:p>
          <w:p>
            <w:pPr>
              <w:pStyle w:val="62"/>
              <w:spacing w:line="500" w:lineRule="exact"/>
              <w:ind w:firstLine="480"/>
              <w:rPr>
                <w:rFonts w:eastAsia="仿宋_GB2312"/>
                <w:szCs w:val="24"/>
              </w:rPr>
            </w:pPr>
            <w:r>
              <w:rPr>
                <w:rFonts w:eastAsia="仿宋_GB2312"/>
                <w:szCs w:val="24"/>
              </w:rPr>
              <w:t>b、准备实验材料：准备研究实验所需的药剂、仪器设备。若需配置药剂，配置过程在通风橱内进行，产生废气（G3-1）、实验废液（S3-1）和废试剂瓶或沾染药剂的废包装（S3-2）。</w:t>
            </w:r>
          </w:p>
          <w:p>
            <w:pPr>
              <w:pStyle w:val="62"/>
              <w:spacing w:line="500" w:lineRule="exact"/>
              <w:ind w:firstLine="480"/>
              <w:rPr>
                <w:rFonts w:eastAsia="仿宋_GB2312"/>
                <w:szCs w:val="24"/>
              </w:rPr>
            </w:pPr>
            <w:r>
              <w:rPr>
                <w:rFonts w:eastAsia="仿宋_GB2312"/>
                <w:szCs w:val="24"/>
              </w:rPr>
              <w:t>c、开展实验：根据不同的研究内容开展实验，实验过程可能产生废气（G3-2），根据环境类实验经验，主要来源于</w:t>
            </w:r>
            <w:r>
              <w:rPr>
                <w:rFonts w:hint="eastAsia" w:eastAsia="仿宋_GB2312"/>
                <w:szCs w:val="24"/>
              </w:rPr>
              <w:t>生产过程</w:t>
            </w:r>
            <w:r>
              <w:rPr>
                <w:rFonts w:eastAsia="仿宋_GB2312"/>
                <w:szCs w:val="24"/>
              </w:rPr>
              <w:t>中挥发性有机污染物挥发产生有机废气。实验结束后产生废样品（S3-3）、实验废液（S3-4）。本项目实验室实验规模较小，仅为小试实验，污染物产生量较小。</w:t>
            </w:r>
          </w:p>
          <w:p>
            <w:pPr>
              <w:pStyle w:val="62"/>
              <w:spacing w:line="500" w:lineRule="exact"/>
              <w:ind w:firstLine="480"/>
              <w:rPr>
                <w:rFonts w:eastAsia="仿宋_GB2312"/>
                <w:szCs w:val="24"/>
              </w:rPr>
            </w:pPr>
            <w:r>
              <w:rPr>
                <w:rFonts w:eastAsia="仿宋_GB2312"/>
                <w:szCs w:val="24"/>
              </w:rPr>
              <w:t>d、检测分析：科研实验中若需要进行大量分析检测的工作，在三四层检测实验室进行。</w:t>
            </w:r>
          </w:p>
          <w:p>
            <w:pPr>
              <w:pStyle w:val="62"/>
              <w:spacing w:line="500" w:lineRule="exact"/>
              <w:ind w:firstLine="480"/>
              <w:rPr>
                <w:rFonts w:eastAsia="仿宋_GB2312"/>
                <w:szCs w:val="24"/>
              </w:rPr>
            </w:pPr>
            <w:r>
              <w:rPr>
                <w:rFonts w:eastAsia="仿宋_GB2312"/>
                <w:szCs w:val="24"/>
              </w:rPr>
              <w:t>e、仪器清洗：实验完成后，对所有使用过的实验器皿和实验仪器进行清洗，此工序产生初次清洗废水（S3-5，</w:t>
            </w:r>
            <w:r>
              <w:rPr>
                <w:rFonts w:hint="eastAsia" w:eastAsia="仿宋_GB2312"/>
                <w:szCs w:val="24"/>
              </w:rPr>
              <w:t>废水中微量重金属来源于测试标样及重金属测试样品，</w:t>
            </w:r>
            <w:r>
              <w:rPr>
                <w:rFonts w:eastAsia="仿宋_GB2312"/>
                <w:szCs w:val="24"/>
              </w:rPr>
              <w:t>作为危废处置）和清洗废水（W3-1）。</w:t>
            </w:r>
          </w:p>
          <w:p>
            <w:pPr>
              <w:pStyle w:val="62"/>
              <w:spacing w:line="500" w:lineRule="exact"/>
              <w:ind w:firstLine="480"/>
              <w:rPr>
                <w:rFonts w:eastAsia="仿宋_GB2312"/>
                <w:szCs w:val="24"/>
              </w:rPr>
            </w:pPr>
            <w:r>
              <w:rPr>
                <w:rFonts w:eastAsia="仿宋_GB2312"/>
                <w:szCs w:val="24"/>
              </w:rPr>
              <w:t>f、数据分析及获得科研成果：根据实验数据，分析得出研究结论，最终获得科研成果。</w:t>
            </w:r>
          </w:p>
          <w:p>
            <w:pPr>
              <w:spacing w:line="500" w:lineRule="exact"/>
              <w:ind w:left="425" w:firstLine="1"/>
              <w:rPr>
                <w:rFonts w:ascii="Times New Roman" w:hAnsi="Times New Roman" w:eastAsia="仿宋_GB2312"/>
                <w:color w:val="000000"/>
                <w:sz w:val="24"/>
                <w:szCs w:val="24"/>
              </w:rPr>
            </w:pPr>
            <w:r>
              <w:rPr>
                <w:rFonts w:ascii="Times New Roman" w:hAnsi="Times New Roman" w:eastAsia="仿宋_GB2312"/>
                <w:color w:val="000000"/>
                <w:sz w:val="24"/>
                <w:szCs w:val="24"/>
              </w:rPr>
              <w:t>（2）营运</w:t>
            </w:r>
            <w:r>
              <w:rPr>
                <w:rFonts w:hint="eastAsia" w:ascii="Times New Roman" w:hAnsi="Times New Roman" w:eastAsia="仿宋_GB2312"/>
                <w:color w:val="000000"/>
                <w:sz w:val="24"/>
                <w:szCs w:val="24"/>
              </w:rPr>
              <w:t>期</w:t>
            </w:r>
            <w:r>
              <w:rPr>
                <w:rFonts w:ascii="Times New Roman" w:hAnsi="Times New Roman" w:eastAsia="仿宋_GB2312"/>
                <w:color w:val="000000"/>
                <w:sz w:val="24"/>
                <w:szCs w:val="24"/>
              </w:rPr>
              <w:t>污染源分析</w:t>
            </w:r>
          </w:p>
          <w:p>
            <w:pPr>
              <w:tabs>
                <w:tab w:val="left" w:pos="5880"/>
              </w:tabs>
              <w:spacing w:line="500" w:lineRule="exact"/>
              <w:ind w:firstLine="470" w:firstLineChars="196"/>
              <w:rPr>
                <w:rFonts w:ascii="Times New Roman" w:hAnsi="Times New Roman" w:eastAsia="仿宋_GB2312"/>
                <w:bCs/>
                <w:color w:val="000000"/>
                <w:sz w:val="24"/>
                <w:szCs w:val="24"/>
              </w:rPr>
            </w:pPr>
            <w:r>
              <w:rPr>
                <w:rFonts w:ascii="Times New Roman" w:hAnsi="Times New Roman" w:eastAsia="仿宋_GB2312"/>
                <w:bCs/>
                <w:color w:val="000000"/>
                <w:sz w:val="24"/>
                <w:szCs w:val="24"/>
              </w:rPr>
              <w:fldChar w:fldCharType="begin"/>
            </w:r>
            <w:r>
              <w:rPr>
                <w:rFonts w:ascii="Times New Roman" w:hAnsi="Times New Roman" w:eastAsia="仿宋_GB2312"/>
                <w:bCs/>
                <w:color w:val="000000"/>
                <w:sz w:val="24"/>
                <w:szCs w:val="24"/>
              </w:rPr>
              <w:instrText xml:space="preserve"> = 1 \* GB3 </w:instrText>
            </w:r>
            <w:r>
              <w:rPr>
                <w:rFonts w:ascii="Times New Roman" w:hAnsi="Times New Roman" w:eastAsia="仿宋_GB2312"/>
                <w:bCs/>
                <w:color w:val="000000"/>
                <w:sz w:val="24"/>
                <w:szCs w:val="24"/>
              </w:rPr>
              <w:fldChar w:fldCharType="separate"/>
            </w:r>
            <w:r>
              <w:rPr>
                <w:rFonts w:hint="eastAsia" w:ascii="宋体" w:hAnsi="宋体" w:cs="宋体"/>
                <w:bCs/>
                <w:color w:val="000000"/>
                <w:sz w:val="24"/>
                <w:szCs w:val="24"/>
              </w:rPr>
              <w:t>①</w:t>
            </w:r>
            <w:r>
              <w:rPr>
                <w:rFonts w:ascii="Times New Roman" w:hAnsi="Times New Roman" w:eastAsia="仿宋_GB2312"/>
                <w:bCs/>
                <w:color w:val="000000"/>
                <w:sz w:val="24"/>
                <w:szCs w:val="24"/>
              </w:rPr>
              <w:fldChar w:fldCharType="end"/>
            </w:r>
            <w:r>
              <w:rPr>
                <w:rFonts w:ascii="Times New Roman" w:hAnsi="Times New Roman" w:eastAsia="仿宋_GB2312"/>
                <w:bCs/>
                <w:color w:val="000000"/>
                <w:sz w:val="24"/>
                <w:szCs w:val="24"/>
              </w:rPr>
              <w:t xml:space="preserve"> 废气</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本项目一层主要为档案室、设备仓库、化学品仓库、样品室、危险废物暂存间等，其中化学试剂保存在封闭式试剂瓶中，只在试剂使用时短暂打开试剂瓶，随后立即封闭，基本无挥发。危险废物暂存间在暂存固体废物时采取封闭固废袋/箱和废液收集桶，产生的废气量极少，因此</w:t>
            </w:r>
            <w:r>
              <w:rPr>
                <w:rFonts w:hint="eastAsia" w:ascii="Times New Roman" w:hAnsi="Times New Roman" w:eastAsia="仿宋_GB2312"/>
                <w:color w:val="000000"/>
                <w:sz w:val="24"/>
                <w:szCs w:val="24"/>
              </w:rPr>
              <w:t>本次评价</w:t>
            </w:r>
            <w:r>
              <w:rPr>
                <w:rFonts w:ascii="Times New Roman" w:hAnsi="Times New Roman" w:eastAsia="仿宋_GB2312"/>
                <w:color w:val="000000"/>
                <w:sz w:val="24"/>
                <w:szCs w:val="24"/>
              </w:rPr>
              <w:t>不定量计算。</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五层主要为水环境研究实验室、生物多样性实验室，其中废水修复过程产生少量异味，由于实验规模较小，根据同类实验经验，异味经通风可迅速消散，本</w:t>
            </w:r>
            <w:r>
              <w:rPr>
                <w:rFonts w:hint="eastAsia" w:ascii="Times New Roman" w:hAnsi="Times New Roman" w:eastAsia="仿宋_GB2312"/>
                <w:color w:val="000000"/>
                <w:sz w:val="24"/>
                <w:szCs w:val="24"/>
              </w:rPr>
              <w:t>次评价</w:t>
            </w:r>
            <w:r>
              <w:rPr>
                <w:rFonts w:ascii="Times New Roman" w:hAnsi="Times New Roman" w:eastAsia="仿宋_GB2312"/>
                <w:color w:val="000000"/>
                <w:sz w:val="24"/>
                <w:szCs w:val="24"/>
              </w:rPr>
              <w:t>不进行定量计算。</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六层</w:t>
            </w:r>
            <w:r>
              <w:rPr>
                <w:rFonts w:hint="eastAsia" w:ascii="Times New Roman" w:hAnsi="Times New Roman" w:eastAsia="仿宋_GB2312"/>
                <w:color w:val="000000"/>
                <w:sz w:val="24"/>
                <w:szCs w:val="24"/>
              </w:rPr>
              <w:t>不在本次项目范围内，目前处于空置状态，不对其进行分析</w:t>
            </w:r>
            <w:r>
              <w:rPr>
                <w:rFonts w:ascii="Times New Roman" w:hAnsi="Times New Roman" w:eastAsia="仿宋_GB2312"/>
                <w:color w:val="000000"/>
                <w:sz w:val="24"/>
                <w:szCs w:val="24"/>
              </w:rPr>
              <w:t>。</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二层为科研实验，</w:t>
            </w:r>
            <w:r>
              <w:rPr>
                <w:rFonts w:hint="eastAsia" w:ascii="Times New Roman" w:hAnsi="Times New Roman" w:eastAsia="仿宋_GB2312"/>
                <w:color w:val="000000"/>
                <w:sz w:val="24"/>
                <w:szCs w:val="24"/>
              </w:rPr>
              <w:t>主要还是围绕污染土壤、污泥、废水等介质的环境治理修复开展实验。主要实验类型如添加药剂进行化学氧化、利用材料介质进行物理修复、通过热处理方式进行治理等。</w:t>
            </w:r>
            <w:r>
              <w:rPr>
                <w:rFonts w:ascii="Times New Roman" w:hAnsi="Times New Roman" w:eastAsia="仿宋_GB2312"/>
                <w:color w:val="000000"/>
                <w:sz w:val="24"/>
                <w:szCs w:val="24"/>
              </w:rPr>
              <w:t>由于实验种类根据科研要求变化，本次主要根据典型实验内容估算废气产生情况。根据</w:t>
            </w:r>
            <w:r>
              <w:rPr>
                <w:rFonts w:hint="eastAsia" w:ascii="Times New Roman" w:hAnsi="Times New Roman" w:eastAsia="仿宋_GB2312"/>
                <w:color w:val="000000"/>
                <w:sz w:val="24"/>
                <w:szCs w:val="24"/>
              </w:rPr>
              <w:t>本次项目</w:t>
            </w:r>
            <w:r>
              <w:rPr>
                <w:rFonts w:ascii="Times New Roman" w:hAnsi="Times New Roman" w:eastAsia="仿宋_GB2312"/>
                <w:color w:val="000000"/>
                <w:sz w:val="24"/>
                <w:szCs w:val="24"/>
              </w:rPr>
              <w:t>实验内容</w:t>
            </w:r>
            <w:r>
              <w:rPr>
                <w:rFonts w:hint="eastAsia" w:ascii="Times New Roman" w:hAnsi="Times New Roman" w:eastAsia="仿宋_GB2312"/>
                <w:color w:val="000000"/>
                <w:sz w:val="24"/>
                <w:szCs w:val="24"/>
              </w:rPr>
              <w:t>及以往实验经验</w:t>
            </w:r>
            <w:r>
              <w:rPr>
                <w:rFonts w:ascii="Times New Roman" w:hAnsi="Times New Roman" w:eastAsia="仿宋_GB2312"/>
                <w:color w:val="000000"/>
                <w:sz w:val="24"/>
                <w:szCs w:val="24"/>
              </w:rPr>
              <w:t>，废气一方面产生于使用浓硫酸、盐酸</w:t>
            </w:r>
            <w:r>
              <w:rPr>
                <w:rFonts w:hint="eastAsia" w:ascii="Times New Roman" w:hAnsi="Times New Roman" w:eastAsia="仿宋_GB2312"/>
                <w:color w:val="000000"/>
                <w:sz w:val="24"/>
                <w:szCs w:val="24"/>
              </w:rPr>
              <w:t>等酸性</w:t>
            </w:r>
            <w:r>
              <w:rPr>
                <w:rFonts w:ascii="Times New Roman" w:hAnsi="Times New Roman" w:eastAsia="仿宋_GB2312"/>
                <w:color w:val="000000"/>
                <w:sz w:val="24"/>
                <w:szCs w:val="24"/>
              </w:rPr>
              <w:t>试剂时挥发的酸性气体硫酸雾、氯化氢</w:t>
            </w:r>
            <w:r>
              <w:rPr>
                <w:rFonts w:hint="eastAsia" w:ascii="Times New Roman" w:hAnsi="Times New Roman" w:eastAsia="仿宋_GB2312"/>
                <w:color w:val="000000"/>
                <w:sz w:val="24"/>
                <w:szCs w:val="24"/>
              </w:rPr>
              <w:t>等</w:t>
            </w:r>
            <w:r>
              <w:rPr>
                <w:rFonts w:ascii="Times New Roman" w:hAnsi="Times New Roman" w:eastAsia="仿宋_GB2312"/>
                <w:color w:val="000000"/>
                <w:sz w:val="24"/>
                <w:szCs w:val="24"/>
              </w:rPr>
              <w:t>，酸性气体的挥发量按使用量的10%计；另一方面产生于污染</w:t>
            </w:r>
            <w:r>
              <w:rPr>
                <w:rFonts w:hint="eastAsia" w:ascii="Times New Roman" w:hAnsi="Times New Roman" w:eastAsia="仿宋_GB2312"/>
                <w:color w:val="000000"/>
                <w:sz w:val="24"/>
                <w:szCs w:val="24"/>
              </w:rPr>
              <w:t>介质样品</w:t>
            </w:r>
            <w:r>
              <w:rPr>
                <w:rFonts w:ascii="Times New Roman" w:hAnsi="Times New Roman" w:eastAsia="仿宋_GB2312"/>
                <w:color w:val="000000"/>
                <w:sz w:val="24"/>
                <w:szCs w:val="24"/>
              </w:rPr>
              <w:t>中有机污染物挥发</w:t>
            </w:r>
            <w:r>
              <w:rPr>
                <w:rFonts w:hint="eastAsia" w:ascii="Times New Roman" w:hAnsi="Times New Roman" w:eastAsia="仿宋_GB2312"/>
                <w:color w:val="000000"/>
                <w:sz w:val="24"/>
                <w:szCs w:val="24"/>
              </w:rPr>
              <w:t>及实验中使用的挥发性有机物</w:t>
            </w:r>
            <w:r>
              <w:rPr>
                <w:rFonts w:ascii="Times New Roman" w:hAnsi="Times New Roman" w:eastAsia="仿宋_GB2312"/>
                <w:color w:val="000000"/>
                <w:sz w:val="24"/>
                <w:szCs w:val="24"/>
              </w:rPr>
              <w:t>产生的有机废气，以VOCs计，废气产生量见表5-3。</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三</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四层为检测实验室，</w:t>
            </w:r>
            <w:r>
              <w:rPr>
                <w:rFonts w:hint="eastAsia" w:ascii="Times New Roman" w:hAnsi="Times New Roman" w:eastAsia="仿宋_GB2312"/>
                <w:color w:val="000000"/>
                <w:sz w:val="24"/>
                <w:szCs w:val="24"/>
              </w:rPr>
              <w:t>主要有紫外荧光检测实验室、红外光谱检测实验室、气相色谱实验室、液相色谱实验室、原子荧光检测室以及样品前处理室等</w:t>
            </w:r>
            <w:r>
              <w:rPr>
                <w:rFonts w:ascii="Times New Roman" w:hAnsi="Times New Roman" w:eastAsia="仿宋_GB2312"/>
                <w:color w:val="000000"/>
                <w:sz w:val="24"/>
                <w:szCs w:val="24"/>
              </w:rPr>
              <w:t>。三四层检测产生的废气主要来源于实验准备（样品预处理、试剂</w:t>
            </w:r>
            <w:r>
              <w:rPr>
                <w:rFonts w:hint="eastAsia" w:ascii="Times New Roman" w:hAnsi="Times New Roman" w:eastAsia="仿宋_GB2312"/>
                <w:color w:val="000000"/>
                <w:sz w:val="24"/>
                <w:szCs w:val="24"/>
              </w:rPr>
              <w:t>配制</w:t>
            </w:r>
            <w:r>
              <w:rPr>
                <w:rFonts w:ascii="Times New Roman" w:hAnsi="Times New Roman" w:eastAsia="仿宋_GB2312"/>
                <w:color w:val="000000"/>
                <w:sz w:val="24"/>
                <w:szCs w:val="24"/>
              </w:rPr>
              <w:t>）、样品检测、试剂</w:t>
            </w:r>
            <w:r>
              <w:rPr>
                <w:rFonts w:hint="eastAsia" w:ascii="Times New Roman" w:hAnsi="Times New Roman" w:eastAsia="仿宋_GB2312"/>
                <w:color w:val="000000"/>
                <w:sz w:val="24"/>
                <w:szCs w:val="24"/>
              </w:rPr>
              <w:t>（如液相流动相）</w:t>
            </w:r>
            <w:r>
              <w:rPr>
                <w:rFonts w:ascii="Times New Roman" w:hAnsi="Times New Roman" w:eastAsia="仿宋_GB2312"/>
                <w:color w:val="000000"/>
                <w:sz w:val="24"/>
                <w:szCs w:val="24"/>
              </w:rPr>
              <w:t>及样品留存过程中产生的挥发性气体。</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有机、无机前处理室中，实验准备过程中涉及到消解、氮吹等过程，此时挥发性试剂易挥发，为本项目主要废气产生工序（位于三层无机前处理室及四层有机前处理室）。样品检测时，试剂使用量少，且密封检测，废气挥发量少。上述操作均在配备通风橱/集气罩的半封闭式主实验台内进行。</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储存的试剂，一般保存在封闭式试剂瓶中，只在试剂使用时短暂打开试剂瓶，随后立即封闭，所以储存的试剂基本无挥发。危险废物暂存间在暂存固体废物时采取封闭固废袋/箱和废液收集桶，产生的废气量极少。</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三层实验室主要挥发性试剂有盐酸、硫酸、硝酸、氢氟酸</w:t>
            </w:r>
            <w:r>
              <w:rPr>
                <w:rFonts w:hint="eastAsia" w:ascii="Times New Roman" w:hAnsi="Times New Roman" w:eastAsia="仿宋_GB2312"/>
                <w:color w:val="000000"/>
                <w:sz w:val="24"/>
                <w:szCs w:val="24"/>
              </w:rPr>
              <w:t>等</w:t>
            </w:r>
            <w:r>
              <w:rPr>
                <w:rFonts w:ascii="Times New Roman" w:hAnsi="Times New Roman" w:eastAsia="仿宋_GB2312"/>
                <w:color w:val="000000"/>
                <w:sz w:val="24"/>
                <w:szCs w:val="24"/>
              </w:rPr>
              <w:t>，产生的废气主要为酸性气体氯化氢、硫酸雾、氮氧化物、氟化物，类比同类项目，酸性气体的挥发量按使用量的10%计。</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四层实验室主要挥发性试剂有甲醇、正己烷、丙酮、三氯甲烷、乙醇、乙腈、四氯乙烯、二氯甲烷、乙酸乙酯等，产生的废气主要为挥发性有机废气。挥发性有机废气挥发量按试剂主要成分的30%进行计算。由于各类有机废气产生量较小，本项目统一纳入VOCs进行计算。</w:t>
            </w:r>
            <w:r>
              <w:rPr>
                <w:rFonts w:hint="eastAsia" w:ascii="Times New Roman" w:hAnsi="Times New Roman" w:eastAsia="仿宋_GB2312"/>
                <w:color w:val="000000"/>
                <w:sz w:val="24"/>
                <w:szCs w:val="24"/>
              </w:rPr>
              <w:t>此外，乙酸乙酯在使用过程中可能会散发异味，异味量很小，可忽略不计。</w:t>
            </w:r>
            <w:r>
              <w:rPr>
                <w:rFonts w:ascii="Times New Roman" w:hAnsi="Times New Roman" w:eastAsia="仿宋_GB2312"/>
                <w:color w:val="000000"/>
                <w:sz w:val="24"/>
                <w:szCs w:val="24"/>
              </w:rPr>
              <w:t>项目实验废气的产生量见表5-3。</w:t>
            </w:r>
          </w:p>
          <w:p>
            <w:pPr>
              <w:pStyle w:val="62"/>
              <w:spacing w:line="480" w:lineRule="exact"/>
              <w:ind w:firstLine="0" w:firstLineChars="0"/>
              <w:jc w:val="center"/>
              <w:rPr>
                <w:rFonts w:eastAsia="仿宋_GB2312"/>
                <w:b/>
                <w:bCs/>
                <w:szCs w:val="24"/>
              </w:rPr>
            </w:pPr>
            <w:r>
              <w:rPr>
                <w:rFonts w:eastAsia="仿宋_GB2312"/>
                <w:b/>
                <w:bCs/>
                <w:szCs w:val="24"/>
              </w:rPr>
              <w:t>表5-3 实验废气的产生量</w:t>
            </w:r>
          </w:p>
          <w:tbl>
            <w:tblPr>
              <w:tblStyle w:val="38"/>
              <w:tblW w:w="84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09"/>
              <w:gridCol w:w="1274"/>
              <w:gridCol w:w="963"/>
              <w:gridCol w:w="759"/>
              <w:gridCol w:w="1140"/>
              <w:gridCol w:w="1143"/>
              <w:gridCol w:w="1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序号</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大气污染物</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试剂</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年用量</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规格</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密度（g/cm</w:t>
                  </w:r>
                  <w:r>
                    <w:rPr>
                      <w:rFonts w:ascii="Times New Roman" w:hAnsi="Times New Roman" w:eastAsia="仿宋_GB2312"/>
                      <w:b/>
                      <w:bCs/>
                      <w:color w:val="000000"/>
                      <w:kern w:val="21"/>
                      <w:szCs w:val="21"/>
                      <w:vertAlign w:val="superscript"/>
                      <w:lang w:val="zh-CN"/>
                    </w:rPr>
                    <w:t>3</w:t>
                  </w:r>
                  <w:r>
                    <w:rPr>
                      <w:rFonts w:ascii="Times New Roman" w:hAnsi="Times New Roman" w:eastAsia="仿宋_GB2312"/>
                      <w:b/>
                      <w:bCs/>
                      <w:color w:val="000000"/>
                      <w:kern w:val="21"/>
                      <w:szCs w:val="21"/>
                      <w:lang w:val="zh-CN"/>
                    </w:rPr>
                    <w:t>）</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试剂主要成分含量（kg/a）</w:t>
                  </w:r>
                </w:p>
              </w:tc>
              <w:tc>
                <w:tcPr>
                  <w:tcW w:w="1023" w:type="dxa"/>
                  <w:shd w:val="clear" w:color="auto" w:fill="auto"/>
                  <w:vAlign w:val="center"/>
                </w:tcPr>
                <w:p>
                  <w:pPr>
                    <w:autoSpaceDE w:val="0"/>
                    <w:autoSpaceDN w:val="0"/>
                    <w:adjustRightInd w:val="0"/>
                    <w:snapToGrid w:val="0"/>
                    <w:jc w:val="center"/>
                    <w:rPr>
                      <w:rFonts w:ascii="Times New Roman" w:hAnsi="Times New Roman" w:eastAsia="仿宋_GB2312"/>
                      <w:b/>
                      <w:bCs/>
                      <w:color w:val="000000"/>
                      <w:kern w:val="21"/>
                      <w:szCs w:val="21"/>
                      <w:lang w:val="zh-CN"/>
                    </w:rPr>
                  </w:pPr>
                  <w:r>
                    <w:rPr>
                      <w:rFonts w:ascii="Times New Roman" w:hAnsi="Times New Roman" w:eastAsia="仿宋_GB2312"/>
                      <w:b/>
                      <w:bCs/>
                      <w:color w:val="000000"/>
                      <w:kern w:val="21"/>
                      <w:szCs w:val="21"/>
                      <w:lang w:val="zh-CN"/>
                    </w:rPr>
                    <w:t>废气挥发量（kg/a）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bCs/>
                      <w:color w:val="000000"/>
                      <w:kern w:val="21"/>
                      <w:szCs w:val="21"/>
                      <w:lang w:val="zh-CN"/>
                    </w:rPr>
                  </w:pPr>
                  <w:r>
                    <w:rPr>
                      <w:rFonts w:ascii="Times New Roman" w:hAnsi="Times New Roman" w:eastAsia="仿宋_GB2312"/>
                      <w:bCs/>
                      <w:color w:val="000000"/>
                      <w:kern w:val="21"/>
                      <w:szCs w:val="21"/>
                      <w:lang w:val="zh-CN"/>
                    </w:rPr>
                    <w:t>（1）</w:t>
                  </w:r>
                </w:p>
              </w:tc>
              <w:tc>
                <w:tcPr>
                  <w:tcW w:w="7711" w:type="dxa"/>
                  <w:gridSpan w:val="7"/>
                  <w:shd w:val="clear" w:color="auto" w:fill="auto"/>
                  <w:vAlign w:val="center"/>
                </w:tcPr>
                <w:p>
                  <w:pPr>
                    <w:autoSpaceDE w:val="0"/>
                    <w:autoSpaceDN w:val="0"/>
                    <w:adjustRightInd w:val="0"/>
                    <w:snapToGrid w:val="0"/>
                    <w:jc w:val="left"/>
                    <w:rPr>
                      <w:rFonts w:ascii="Times New Roman" w:hAnsi="Times New Roman" w:eastAsia="仿宋_GB2312"/>
                      <w:bCs/>
                      <w:color w:val="000000"/>
                      <w:kern w:val="21"/>
                      <w:szCs w:val="21"/>
                      <w:lang w:val="zh-CN"/>
                    </w:rPr>
                  </w:pPr>
                  <w:r>
                    <w:rPr>
                      <w:rFonts w:ascii="Times New Roman" w:hAnsi="Times New Roman" w:eastAsia="仿宋_GB2312"/>
                      <w:bCs/>
                      <w:color w:val="000000"/>
                      <w:kern w:val="21"/>
                      <w:szCs w:val="21"/>
                      <w:lang w:val="zh-CN"/>
                    </w:rPr>
                    <w:t>二层科研实验室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盐酸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5kg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37%</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1.85</w:t>
                  </w:r>
                </w:p>
              </w:tc>
              <w:tc>
                <w:tcPr>
                  <w:tcW w:w="1023" w:type="dxa"/>
                  <w:tcBorders>
                    <w:top w:val="nil"/>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硫酸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97%</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1.94</w:t>
                  </w:r>
                </w:p>
              </w:tc>
              <w:tc>
                <w:tcPr>
                  <w:tcW w:w="1023"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hint="eastAsia" w:ascii="Times New Roman" w:hAnsi="Times New Roman" w:eastAsia="仿宋_GB2312"/>
                      <w:color w:val="000000"/>
                      <w:kern w:val="21"/>
                      <w:szCs w:val="21"/>
                      <w:lang w:val="zh-CN"/>
                    </w:rPr>
                    <w:t>3</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硝酸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5kg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67%</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3</w:t>
                  </w:r>
                  <w:r>
                    <w:rPr>
                      <w:rFonts w:ascii="Times New Roman" w:hAnsi="Times New Roman" w:eastAsia="仿宋_GB2312"/>
                      <w:color w:val="000000"/>
                      <w:szCs w:val="21"/>
                    </w:rPr>
                    <w:t>.35</w:t>
                  </w:r>
                </w:p>
              </w:tc>
              <w:tc>
                <w:tcPr>
                  <w:tcW w:w="1023"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VOCs</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kern w:val="21"/>
                      <w:szCs w:val="21"/>
                      <w:lang w:val="zh-CN"/>
                    </w:rPr>
                    <w:t>—</w:t>
                  </w:r>
                </w:p>
              </w:tc>
              <w:tc>
                <w:tcPr>
                  <w:tcW w:w="1143" w:type="dxa"/>
                  <w:tcBorders>
                    <w:top w:val="single" w:color="auto" w:sz="4" w:space="0"/>
                  </w:tcBorders>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023" w:type="dxa"/>
                  <w:tcBorders>
                    <w:top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w:t>
                  </w:r>
                </w:p>
              </w:tc>
              <w:tc>
                <w:tcPr>
                  <w:tcW w:w="7711" w:type="dxa"/>
                  <w:gridSpan w:val="7"/>
                  <w:shd w:val="clear" w:color="auto" w:fill="auto"/>
                  <w:vAlign w:val="center"/>
                </w:tcPr>
                <w:p>
                  <w:pPr>
                    <w:ind w:firstLine="21" w:firstLineChars="10"/>
                    <w:jc w:val="left"/>
                    <w:rPr>
                      <w:rFonts w:ascii="Times New Roman" w:hAnsi="Times New Roman" w:eastAsia="仿宋_GB2312"/>
                      <w:color w:val="000000"/>
                      <w:szCs w:val="21"/>
                    </w:rPr>
                  </w:pPr>
                  <w:r>
                    <w:rPr>
                      <w:rFonts w:ascii="Times New Roman" w:hAnsi="Times New Roman" w:eastAsia="仿宋_GB2312"/>
                      <w:color w:val="000000"/>
                      <w:kern w:val="21"/>
                      <w:szCs w:val="21"/>
                      <w:lang w:val="zh-CN"/>
                    </w:rPr>
                    <w:t>三层</w:t>
                  </w:r>
                  <w:r>
                    <w:rPr>
                      <w:rFonts w:ascii="Times New Roman" w:hAnsi="Times New Roman" w:eastAsia="仿宋_GB2312"/>
                      <w:color w:val="000000"/>
                      <w:szCs w:val="21"/>
                    </w:rPr>
                    <w:t>无机</w:t>
                  </w:r>
                  <w:r>
                    <w:rPr>
                      <w:rFonts w:hint="eastAsia" w:ascii="Times New Roman" w:hAnsi="Times New Roman" w:eastAsia="仿宋_GB2312"/>
                      <w:color w:val="000000"/>
                      <w:szCs w:val="21"/>
                    </w:rPr>
                    <w:t>检测</w:t>
                  </w:r>
                  <w:r>
                    <w:rPr>
                      <w:rFonts w:ascii="Times New Roman" w:hAnsi="Times New Roman" w:eastAsia="仿宋_GB2312"/>
                      <w:color w:val="000000"/>
                      <w:szCs w:val="21"/>
                    </w:rPr>
                    <w:t>实验室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盐酸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20kg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37%</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7.4</w:t>
                  </w:r>
                </w:p>
              </w:tc>
              <w:tc>
                <w:tcPr>
                  <w:tcW w:w="1023" w:type="dxa"/>
                  <w:tcBorders>
                    <w:top w:val="nil"/>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硝酸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15kg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67%</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1</w:t>
                  </w:r>
                  <w:r>
                    <w:rPr>
                      <w:rFonts w:ascii="Times New Roman" w:hAnsi="Times New Roman" w:eastAsia="仿宋_GB2312"/>
                      <w:color w:val="000000"/>
                      <w:szCs w:val="21"/>
                    </w:rPr>
                    <w:t>0.05</w:t>
                  </w:r>
                </w:p>
              </w:tc>
              <w:tc>
                <w:tcPr>
                  <w:tcW w:w="1023"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硫酸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10kg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97%</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9.7</w:t>
                  </w:r>
                </w:p>
              </w:tc>
              <w:tc>
                <w:tcPr>
                  <w:tcW w:w="1023"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氢氟酸</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6kg</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40%</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2.4</w:t>
                  </w:r>
                </w:p>
              </w:tc>
              <w:tc>
                <w:tcPr>
                  <w:tcW w:w="1023" w:type="dxa"/>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bCs/>
                      <w:color w:val="000000"/>
                      <w:kern w:val="21"/>
                      <w:szCs w:val="21"/>
                      <w:lang w:val="zh-CN"/>
                    </w:rPr>
                  </w:pPr>
                  <w:r>
                    <w:rPr>
                      <w:rFonts w:ascii="Times New Roman" w:hAnsi="Times New Roman" w:eastAsia="仿宋_GB2312"/>
                      <w:bCs/>
                      <w:color w:val="000000"/>
                      <w:kern w:val="21"/>
                      <w:szCs w:val="21"/>
                      <w:lang w:val="zh-CN"/>
                    </w:rPr>
                    <w:t>（3）</w:t>
                  </w:r>
                </w:p>
              </w:tc>
              <w:tc>
                <w:tcPr>
                  <w:tcW w:w="7711" w:type="dxa"/>
                  <w:gridSpan w:val="7"/>
                  <w:shd w:val="clear" w:color="auto" w:fill="auto"/>
                  <w:vAlign w:val="center"/>
                </w:tcPr>
                <w:p>
                  <w:pPr>
                    <w:autoSpaceDE w:val="0"/>
                    <w:autoSpaceDN w:val="0"/>
                    <w:adjustRightInd w:val="0"/>
                    <w:snapToGrid w:val="0"/>
                    <w:jc w:val="left"/>
                    <w:rPr>
                      <w:rFonts w:ascii="Times New Roman" w:hAnsi="Times New Roman" w:eastAsia="仿宋_GB2312"/>
                      <w:bCs/>
                      <w:color w:val="000000"/>
                      <w:kern w:val="21"/>
                      <w:szCs w:val="21"/>
                      <w:lang w:val="zh-CN"/>
                    </w:rPr>
                  </w:pPr>
                  <w:r>
                    <w:rPr>
                      <w:rFonts w:ascii="Times New Roman" w:hAnsi="Times New Roman" w:eastAsia="仿宋_GB2312"/>
                      <w:bCs/>
                      <w:color w:val="000000"/>
                      <w:kern w:val="21"/>
                      <w:szCs w:val="21"/>
                      <w:lang w:val="zh-CN"/>
                    </w:rPr>
                    <w:t>四层有机</w:t>
                  </w:r>
                  <w:r>
                    <w:rPr>
                      <w:rFonts w:hint="eastAsia" w:ascii="Times New Roman" w:hAnsi="Times New Roman" w:eastAsia="仿宋_GB2312"/>
                      <w:bCs/>
                      <w:color w:val="000000"/>
                      <w:kern w:val="21"/>
                      <w:szCs w:val="21"/>
                      <w:lang w:val="zh-CN"/>
                    </w:rPr>
                    <w:t>检测</w:t>
                  </w:r>
                  <w:r>
                    <w:rPr>
                      <w:rFonts w:ascii="Times New Roman" w:hAnsi="Times New Roman" w:eastAsia="仿宋_GB2312"/>
                      <w:bCs/>
                      <w:color w:val="000000"/>
                      <w:kern w:val="21"/>
                      <w:szCs w:val="21"/>
                      <w:lang w:val="zh-CN"/>
                    </w:rPr>
                    <w:t>实验室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甲醇</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甲醇</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12L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99.9%</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0.793</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9.5</w:t>
                  </w:r>
                </w:p>
              </w:tc>
              <w:tc>
                <w:tcPr>
                  <w:tcW w:w="1023" w:type="dxa"/>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丙酮</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丙酮</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2.5L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99.8%</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0.788</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1.966</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正己烷</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正己烷</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95%</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0.692</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2.63</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三氯甲烷</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三氯甲烷</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0.5L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99.0%</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1.484</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0.735</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5</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乙醇</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乙醇</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99.9%</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0.789</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3.156</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6</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乙腈</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乙腈</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99.9%</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0.784</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3.136</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7</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四氯乙烯</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四氯乙烯</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7.5L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98.5%</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szCs w:val="21"/>
                    </w:rPr>
                    <w:t>1.625</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12</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8</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二氯甲烷</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二氯甲烷</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8L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1.325</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10.6</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9</w:t>
                  </w: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乙酸乙酯</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乙酸乙酯</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4L</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0.902</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3.608</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p>
              </w:tc>
              <w:tc>
                <w:tcPr>
                  <w:tcW w:w="1409"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VOCs</w:t>
                  </w:r>
                </w:p>
              </w:tc>
              <w:tc>
                <w:tcPr>
                  <w:tcW w:w="1274"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96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759"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140" w:type="dxa"/>
                  <w:shd w:val="clear" w:color="auto" w:fill="auto"/>
                  <w:vAlign w:val="center"/>
                </w:tcPr>
                <w:p>
                  <w:pPr>
                    <w:autoSpaceDE w:val="0"/>
                    <w:autoSpaceDN w:val="0"/>
                    <w:adjustRightInd w:val="0"/>
                    <w:snapToGrid w:val="0"/>
                    <w:jc w:val="center"/>
                    <w:rPr>
                      <w:rFonts w:ascii="Times New Roman" w:hAnsi="Times New Roman" w:eastAsia="仿宋_GB2312"/>
                      <w:color w:val="000000"/>
                      <w:szCs w:val="21"/>
                    </w:rPr>
                  </w:pPr>
                  <w:r>
                    <w:rPr>
                      <w:rFonts w:ascii="Times New Roman" w:hAnsi="Times New Roman" w:eastAsia="仿宋_GB2312"/>
                      <w:color w:val="000000"/>
                      <w:kern w:val="21"/>
                      <w:szCs w:val="21"/>
                      <w:lang w:val="zh-CN"/>
                    </w:rPr>
                    <w:t>—</w:t>
                  </w:r>
                </w:p>
              </w:tc>
              <w:tc>
                <w:tcPr>
                  <w:tcW w:w="1143" w:type="dxa"/>
                  <w:shd w:val="clear" w:color="auto" w:fill="auto"/>
                  <w:vAlign w:val="center"/>
                </w:tcPr>
                <w:p>
                  <w:pPr>
                    <w:autoSpaceDE w:val="0"/>
                    <w:autoSpaceDN w:val="0"/>
                    <w:adjustRightInd w:val="0"/>
                    <w:snapToGrid w:val="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w:t>
                  </w:r>
                </w:p>
              </w:tc>
              <w:tc>
                <w:tcPr>
                  <w:tcW w:w="1023"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14.19</w:t>
                  </w:r>
                </w:p>
              </w:tc>
            </w:tr>
          </w:tbl>
          <w:p>
            <w:pPr>
              <w:pStyle w:val="244"/>
              <w:ind w:firstLine="420" w:firstLineChars="200"/>
              <w:jc w:val="left"/>
              <w:rPr>
                <w:rFonts w:eastAsia="仿宋_GB2312"/>
                <w:color w:val="000000"/>
              </w:rPr>
            </w:pPr>
            <w:r>
              <w:rPr>
                <w:rFonts w:eastAsia="仿宋_GB2312"/>
                <w:color w:val="000000"/>
              </w:rPr>
              <w:t>注：</w:t>
            </w:r>
            <w:r>
              <w:rPr>
                <w:rFonts w:hint="eastAsia" w:eastAsia="仿宋_GB2312"/>
                <w:color w:val="000000"/>
              </w:rPr>
              <w:t>本项目全年预估科研实验及监测样品量约7t，其中实验过程中样品挥发的V</w:t>
            </w:r>
            <w:r>
              <w:rPr>
                <w:rFonts w:eastAsia="仿宋_GB2312"/>
                <w:color w:val="000000"/>
              </w:rPr>
              <w:t>OC</w:t>
            </w:r>
            <w:r>
              <w:rPr>
                <w:rFonts w:hint="eastAsia" w:eastAsia="仿宋_GB2312"/>
                <w:color w:val="000000"/>
              </w:rPr>
              <w:t>s以样品量1%计，约为7</w:t>
            </w:r>
            <w:r>
              <w:rPr>
                <w:rFonts w:eastAsia="仿宋_GB2312"/>
                <w:color w:val="000000"/>
              </w:rPr>
              <w:t>0</w:t>
            </w:r>
            <w:r>
              <w:rPr>
                <w:rFonts w:hint="eastAsia" w:eastAsia="仿宋_GB2312"/>
                <w:color w:val="000000"/>
              </w:rPr>
              <w:t>kg。</w:t>
            </w:r>
            <w:r>
              <w:rPr>
                <w:rFonts w:eastAsia="仿宋_GB2312"/>
                <w:color w:val="000000"/>
              </w:rPr>
              <w:t>VOCs为甲醇、丙酮、正己烷、三氯甲烷、乙醇、乙腈、四氯乙烯、二氯甲烷、乙酸乙酯</w:t>
            </w:r>
            <w:r>
              <w:rPr>
                <w:rFonts w:hint="eastAsia" w:eastAsia="仿宋_GB2312"/>
                <w:color w:val="000000"/>
              </w:rPr>
              <w:t>以及样品挥发产生的V</w:t>
            </w:r>
            <w:r>
              <w:rPr>
                <w:rFonts w:eastAsia="仿宋_GB2312"/>
                <w:color w:val="000000"/>
              </w:rPr>
              <w:t>OC</w:t>
            </w:r>
            <w:r>
              <w:rPr>
                <w:rFonts w:hint="eastAsia" w:eastAsia="仿宋_GB2312"/>
                <w:color w:val="000000"/>
              </w:rPr>
              <w:t>s</w:t>
            </w:r>
            <w:r>
              <w:rPr>
                <w:rFonts w:eastAsia="仿宋_GB2312"/>
                <w:color w:val="000000"/>
              </w:rPr>
              <w:t>之和</w:t>
            </w:r>
            <w:r>
              <w:rPr>
                <w:rFonts w:hint="eastAsia" w:eastAsia="仿宋_GB2312"/>
                <w:color w:val="000000"/>
              </w:rPr>
              <w:t>，共计8</w:t>
            </w:r>
            <w:r>
              <w:rPr>
                <w:rFonts w:eastAsia="仿宋_GB2312"/>
                <w:color w:val="000000"/>
              </w:rPr>
              <w:t>5.3</w:t>
            </w:r>
            <w:r>
              <w:rPr>
                <w:rFonts w:hint="eastAsia" w:eastAsia="仿宋_GB2312"/>
                <w:color w:val="000000"/>
              </w:rPr>
              <w:t>kg</w:t>
            </w:r>
            <w:r>
              <w:rPr>
                <w:rFonts w:eastAsia="仿宋_GB2312"/>
                <w:color w:val="000000"/>
              </w:rPr>
              <w:t>。</w:t>
            </w:r>
            <w:r>
              <w:rPr>
                <w:rFonts w:hint="eastAsia" w:eastAsia="仿宋_GB2312"/>
                <w:color w:val="000000"/>
              </w:rPr>
              <w:t>有机试剂标样由于用量很少，年用量仅为0</w:t>
            </w:r>
            <w:r>
              <w:rPr>
                <w:rFonts w:eastAsia="仿宋_GB2312"/>
                <w:color w:val="000000"/>
              </w:rPr>
              <w:t>.19L</w:t>
            </w:r>
            <w:r>
              <w:rPr>
                <w:rFonts w:hint="eastAsia" w:eastAsia="仿宋_GB2312"/>
                <w:color w:val="000000"/>
              </w:rPr>
              <w:t>，且含量不高，因此有机试剂标样的挥发量不计入。</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各实验废气产生点分别利用通风橱或集气罩收集废气，</w:t>
            </w:r>
            <w:r>
              <w:rPr>
                <w:rFonts w:hint="eastAsia" w:ascii="Times New Roman" w:hAnsi="Times New Roman" w:eastAsia="仿宋_GB2312"/>
                <w:color w:val="000000"/>
                <w:sz w:val="24"/>
                <w:szCs w:val="24"/>
              </w:rPr>
              <w:t>通风橱</w:t>
            </w:r>
            <w:r>
              <w:rPr>
                <w:rFonts w:ascii="Times New Roman" w:hAnsi="Times New Roman" w:eastAsia="仿宋_GB2312"/>
                <w:color w:val="000000"/>
                <w:sz w:val="24"/>
                <w:szCs w:val="24"/>
              </w:rPr>
              <w:t>收集效率按80%计</w:t>
            </w:r>
            <w:r>
              <w:rPr>
                <w:rFonts w:hint="eastAsia" w:ascii="Times New Roman" w:hAnsi="Times New Roman" w:eastAsia="仿宋_GB2312"/>
                <w:color w:val="000000"/>
                <w:sz w:val="24"/>
                <w:szCs w:val="24"/>
              </w:rPr>
              <w:t>，集气罩收集效率按照6</w:t>
            </w:r>
            <w:r>
              <w:rPr>
                <w:rFonts w:ascii="Times New Roman" w:hAnsi="Times New Roman" w:eastAsia="仿宋_GB2312"/>
                <w:color w:val="000000"/>
                <w:sz w:val="24"/>
                <w:szCs w:val="24"/>
              </w:rPr>
              <w:t>0</w:t>
            </w:r>
            <w:r>
              <w:rPr>
                <w:rFonts w:hint="eastAsia" w:ascii="Times New Roman" w:hAnsi="Times New Roman" w:eastAsia="仿宋_GB2312"/>
                <w:color w:val="000000"/>
                <w:sz w:val="24"/>
                <w:szCs w:val="24"/>
              </w:rPr>
              <w:t>%计，无机气体主要来源于试剂配制等过程，基本都在通风橱中进行操作，在集气罩条件下进行操作的实验较少，可忽略不计</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实验过程有机试剂配制等除在通风橱内进行操作，还有部分在配置有集气罩的实验台上进行，此外各种检测仪器的尾气如气相色谱尾气均通过集气罩进行收集。故实际计算废气时，酸性气体考虑用通风橱进行收集，V</w:t>
            </w:r>
            <w:r>
              <w:rPr>
                <w:rFonts w:ascii="Times New Roman" w:hAnsi="Times New Roman" w:eastAsia="仿宋_GB2312"/>
                <w:color w:val="000000"/>
                <w:sz w:val="24"/>
                <w:szCs w:val="24"/>
              </w:rPr>
              <w:t>OC</w:t>
            </w:r>
            <w:r>
              <w:rPr>
                <w:rFonts w:hint="eastAsia" w:ascii="Times New Roman" w:hAnsi="Times New Roman" w:eastAsia="仿宋_GB2312"/>
                <w:color w:val="000000"/>
                <w:sz w:val="24"/>
                <w:szCs w:val="24"/>
              </w:rPr>
              <w:t>s的收集考虑通风橱和集气罩，收集比例按</w:t>
            </w:r>
            <w:r>
              <w:rPr>
                <w:rFonts w:ascii="Times New Roman" w:hAnsi="Times New Roman" w:eastAsia="仿宋_GB2312"/>
                <w:color w:val="000000"/>
                <w:sz w:val="24"/>
                <w:szCs w:val="24"/>
              </w:rPr>
              <w:t>3</w:t>
            </w:r>
            <w:r>
              <w:rPr>
                <w:rFonts w:hint="eastAsia" w:ascii="Times New Roman" w:hAnsi="Times New Roman" w:eastAsia="仿宋_GB2312"/>
                <w:color w:val="000000"/>
                <w:sz w:val="24"/>
                <w:szCs w:val="24"/>
              </w:rPr>
              <w:t>:1计。</w:t>
            </w:r>
            <w:r>
              <w:rPr>
                <w:rFonts w:ascii="Times New Roman" w:hAnsi="Times New Roman" w:eastAsia="仿宋_GB2312"/>
                <w:color w:val="000000"/>
                <w:sz w:val="24"/>
                <w:szCs w:val="24"/>
              </w:rPr>
              <w:t>收集后的废气由配套的通风管道引至活性炭吸附装置处理，</w:t>
            </w:r>
            <w:r>
              <w:rPr>
                <w:rFonts w:hint="eastAsia" w:ascii="Times New Roman" w:hAnsi="Times New Roman" w:eastAsia="仿宋_GB2312"/>
                <w:color w:val="000000"/>
                <w:sz w:val="24"/>
                <w:szCs w:val="24"/>
              </w:rPr>
              <w:t>本项目配备1</w:t>
            </w:r>
            <w:r>
              <w:rPr>
                <w:rFonts w:ascii="Times New Roman" w:hAnsi="Times New Roman" w:eastAsia="仿宋_GB2312"/>
                <w:color w:val="000000"/>
                <w:sz w:val="24"/>
                <w:szCs w:val="24"/>
              </w:rPr>
              <w:t>套</w:t>
            </w:r>
            <w:r>
              <w:rPr>
                <w:rFonts w:hint="eastAsia" w:ascii="Times New Roman" w:hAnsi="Times New Roman" w:eastAsia="仿宋_GB2312"/>
                <w:color w:val="000000"/>
                <w:sz w:val="24"/>
                <w:szCs w:val="24"/>
              </w:rPr>
              <w:t>活性炭废气处理设施，采用颗粒型蜂窝活性炭粒为吸附剂</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风机为一台，位于1、2层西侧外墙。</w:t>
            </w:r>
            <w:r>
              <w:rPr>
                <w:rFonts w:ascii="Times New Roman" w:hAnsi="Times New Roman" w:eastAsia="仿宋_GB2312"/>
                <w:color w:val="000000"/>
                <w:sz w:val="24"/>
                <w:szCs w:val="24"/>
              </w:rPr>
              <w:t>活性炭吸附装置对有机废气处理效率约为60%，</w:t>
            </w:r>
            <w:r>
              <w:rPr>
                <w:rFonts w:hint="eastAsia" w:ascii="Times New Roman" w:hAnsi="Times New Roman" w:eastAsia="仿宋_GB2312"/>
                <w:color w:val="000000"/>
                <w:sz w:val="24"/>
                <w:szCs w:val="24"/>
              </w:rPr>
              <w:t>由于酸性等无机废气产生量很小，本次不考虑活性炭对无机废气的去除效率</w:t>
            </w:r>
            <w:r>
              <w:rPr>
                <w:rFonts w:ascii="Times New Roman" w:hAnsi="Times New Roman" w:eastAsia="仿宋_GB2312"/>
                <w:color w:val="000000"/>
                <w:sz w:val="24"/>
                <w:szCs w:val="24"/>
              </w:rPr>
              <w:t>。各层废气</w:t>
            </w:r>
            <w:r>
              <w:rPr>
                <w:rFonts w:hint="eastAsia" w:ascii="Times New Roman" w:hAnsi="Times New Roman" w:eastAsia="仿宋_GB2312"/>
                <w:color w:val="000000"/>
                <w:sz w:val="24"/>
                <w:szCs w:val="24"/>
              </w:rPr>
              <w:t>收集后经活性炭废气</w:t>
            </w:r>
            <w:r>
              <w:rPr>
                <w:rFonts w:ascii="Times New Roman" w:hAnsi="Times New Roman" w:eastAsia="仿宋_GB2312"/>
                <w:color w:val="000000"/>
                <w:sz w:val="24"/>
                <w:szCs w:val="24"/>
              </w:rPr>
              <w:t>处理</w:t>
            </w:r>
            <w:r>
              <w:rPr>
                <w:rFonts w:hint="eastAsia" w:ascii="Times New Roman" w:hAnsi="Times New Roman" w:eastAsia="仿宋_GB2312"/>
                <w:color w:val="000000"/>
                <w:sz w:val="24"/>
                <w:szCs w:val="24"/>
              </w:rPr>
              <w:t>过后通过一</w:t>
            </w:r>
            <w:r>
              <w:rPr>
                <w:rFonts w:ascii="Times New Roman" w:hAnsi="Times New Roman" w:eastAsia="仿宋_GB2312"/>
                <w:color w:val="000000"/>
                <w:sz w:val="24"/>
                <w:szCs w:val="24"/>
              </w:rPr>
              <w:t>根25m高排气筒排放</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未收集的废气无组织排放。</w:t>
            </w:r>
          </w:p>
          <w:p>
            <w:pPr>
              <w:autoSpaceDE w:val="0"/>
              <w:autoSpaceDN w:val="0"/>
              <w:spacing w:line="500" w:lineRule="exact"/>
              <w:ind w:firstLine="480" w:firstLineChars="200"/>
              <w:rPr>
                <w:rFonts w:ascii="Times New Roman" w:hAnsi="Times New Roman" w:eastAsia="仿宋_GB2312"/>
                <w:color w:val="000000"/>
                <w:kern w:val="21"/>
                <w:sz w:val="24"/>
                <w:szCs w:val="24"/>
                <w:lang w:val="zh-CN"/>
              </w:rPr>
            </w:pPr>
            <w:r>
              <w:rPr>
                <w:rFonts w:ascii="Times New Roman" w:hAnsi="Times New Roman" w:eastAsia="仿宋_GB2312"/>
                <w:color w:val="000000"/>
                <w:kern w:val="21"/>
                <w:sz w:val="24"/>
                <w:szCs w:val="24"/>
                <w:lang w:val="zh-CN"/>
              </w:rPr>
              <w:t>建设项目有组织、无组织大气污染物产生排放情况分别见下表5-4、5-5。</w:t>
            </w:r>
          </w:p>
          <w:p>
            <w:pPr>
              <w:autoSpaceDE w:val="0"/>
              <w:autoSpaceDN w:val="0"/>
              <w:spacing w:line="500" w:lineRule="exact"/>
              <w:ind w:firstLine="480" w:firstLineChars="200"/>
              <w:rPr>
                <w:rFonts w:ascii="Times New Roman" w:hAnsi="Times New Roman" w:eastAsia="仿宋_GB2312"/>
                <w:color w:val="000000"/>
                <w:kern w:val="21"/>
                <w:sz w:val="24"/>
                <w:szCs w:val="24"/>
                <w:lang w:val="zh-CN"/>
              </w:rPr>
            </w:pPr>
            <w:r>
              <w:rPr>
                <w:rFonts w:ascii="Times New Roman" w:hAnsi="Times New Roman" w:eastAsia="仿宋_GB2312"/>
                <w:color w:val="000000"/>
                <w:kern w:val="21"/>
                <w:sz w:val="24"/>
                <w:szCs w:val="24"/>
                <w:lang w:val="zh-CN"/>
              </w:rPr>
              <w:t>建设</w:t>
            </w:r>
            <w:r>
              <w:rPr>
                <w:rFonts w:hint="eastAsia" w:ascii="Times New Roman" w:hAnsi="Times New Roman" w:eastAsia="仿宋_GB2312"/>
                <w:color w:val="000000"/>
                <w:kern w:val="21"/>
                <w:sz w:val="24"/>
                <w:szCs w:val="24"/>
                <w:lang w:val="zh-CN"/>
              </w:rPr>
              <w:t>项目风机位于1、2层西侧外墙（见下图），风量30000m</w:t>
            </w:r>
            <w:r>
              <w:rPr>
                <w:rFonts w:hint="eastAsia" w:ascii="Times New Roman" w:hAnsi="Times New Roman" w:eastAsia="仿宋_GB2312"/>
                <w:color w:val="000000"/>
                <w:kern w:val="21"/>
                <w:sz w:val="24"/>
                <w:szCs w:val="24"/>
                <w:vertAlign w:val="superscript"/>
                <w:lang w:val="zh-CN"/>
              </w:rPr>
              <w:t>3</w:t>
            </w:r>
            <w:r>
              <w:rPr>
                <w:rFonts w:hint="eastAsia" w:ascii="Times New Roman" w:hAnsi="Times New Roman" w:eastAsia="仿宋_GB2312"/>
                <w:color w:val="000000"/>
                <w:kern w:val="21"/>
                <w:sz w:val="24"/>
                <w:szCs w:val="24"/>
                <w:lang w:val="zh-CN"/>
              </w:rPr>
              <w:t>/h，排气筒内径尺寸1m*0.7m，高25m。活性炭采用颗粒型蜂窝活性炭粒，装填量约3立方，按照密度0.55t</w:t>
            </w:r>
            <w:r>
              <w:rPr>
                <w:rFonts w:ascii="Times New Roman" w:hAnsi="Times New Roman" w:eastAsia="仿宋_GB2312"/>
                <w:color w:val="000000"/>
                <w:kern w:val="21"/>
                <w:sz w:val="24"/>
                <w:szCs w:val="24"/>
                <w:lang w:val="zh-CN"/>
              </w:rPr>
              <w:t>/</w:t>
            </w:r>
            <w:r>
              <w:rPr>
                <w:rFonts w:hint="eastAsia" w:ascii="Times New Roman" w:hAnsi="Times New Roman" w:eastAsia="仿宋_GB2312"/>
                <w:color w:val="000000"/>
                <w:kern w:val="21"/>
                <w:sz w:val="24"/>
                <w:szCs w:val="24"/>
                <w:lang w:val="zh-CN"/>
              </w:rPr>
              <w:t>m</w:t>
            </w:r>
            <w:r>
              <w:rPr>
                <w:rFonts w:ascii="Times New Roman" w:hAnsi="Times New Roman" w:eastAsia="仿宋_GB2312"/>
                <w:color w:val="000000"/>
                <w:kern w:val="21"/>
                <w:sz w:val="24"/>
                <w:szCs w:val="24"/>
                <w:vertAlign w:val="superscript"/>
                <w:lang w:val="zh-CN"/>
              </w:rPr>
              <w:t>3</w:t>
            </w:r>
            <w:r>
              <w:rPr>
                <w:rFonts w:hint="eastAsia" w:ascii="Times New Roman" w:hAnsi="Times New Roman" w:eastAsia="仿宋_GB2312"/>
                <w:color w:val="000000"/>
                <w:kern w:val="21"/>
                <w:sz w:val="24"/>
                <w:szCs w:val="24"/>
                <w:lang w:val="zh-CN"/>
              </w:rPr>
              <w:t>算，大约为1.65吨。活性炭</w:t>
            </w:r>
            <w:r>
              <w:rPr>
                <w:rFonts w:ascii="Times New Roman" w:hAnsi="Times New Roman" w:eastAsia="仿宋_GB2312"/>
                <w:color w:val="000000"/>
                <w:kern w:val="21"/>
                <w:sz w:val="24"/>
                <w:szCs w:val="24"/>
                <w:lang w:val="zh-CN"/>
              </w:rPr>
              <w:t>每年更换一次，更换后的活性炭作为危险废物委外处置。</w:t>
            </w:r>
          </w:p>
          <w:p>
            <w:pPr>
              <w:pStyle w:val="62"/>
              <w:spacing w:line="240" w:lineRule="auto"/>
              <w:ind w:firstLine="0" w:firstLineChars="0"/>
              <w:jc w:val="center"/>
              <w:rPr>
                <w:rFonts w:eastAsia="仿宋_GB2312"/>
                <w:b/>
                <w:bCs/>
                <w:szCs w:val="24"/>
              </w:rPr>
            </w:pPr>
            <w:r>
              <w:rPr>
                <w:color w:val="000000" w:themeColor="text1"/>
                <w14:textFill>
                  <w14:solidFill>
                    <w14:schemeClr w14:val="tx1"/>
                  </w14:solidFill>
                </w14:textFill>
              </w:rPr>
              <w:drawing>
                <wp:inline distT="0" distB="0" distL="0" distR="0">
                  <wp:extent cx="4142105" cy="29146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4163885" cy="2929659"/>
                          </a:xfrm>
                          <a:prstGeom prst="rect">
                            <a:avLst/>
                          </a:prstGeom>
                        </pic:spPr>
                      </pic:pic>
                    </a:graphicData>
                  </a:graphic>
                </wp:inline>
              </w:drawing>
            </w:r>
          </w:p>
          <w:p>
            <w:pPr>
              <w:pStyle w:val="62"/>
              <w:spacing w:line="240" w:lineRule="auto"/>
              <w:ind w:firstLine="0" w:firstLineChars="0"/>
              <w:jc w:val="center"/>
              <w:rPr>
                <w:rFonts w:eastAsia="仿宋_GB2312"/>
                <w:szCs w:val="24"/>
              </w:rPr>
            </w:pPr>
            <w:r>
              <w:rPr>
                <w:rFonts w:eastAsia="仿宋_GB2312"/>
                <w:b/>
                <w:bCs/>
                <w:szCs w:val="24"/>
              </w:rPr>
              <w:t xml:space="preserve">图5-6 </w:t>
            </w:r>
            <w:r>
              <w:rPr>
                <w:rFonts w:hint="eastAsia" w:eastAsia="仿宋_GB2312"/>
                <w:b/>
                <w:bCs/>
                <w:szCs w:val="24"/>
              </w:rPr>
              <w:t>通风系统示意图</w:t>
            </w:r>
          </w:p>
        </w:tc>
      </w:tr>
    </w:tbl>
    <w:p>
      <w:pPr>
        <w:spacing w:line="480" w:lineRule="exact"/>
        <w:rPr>
          <w:rFonts w:ascii="Times New Roman" w:hAnsi="Times New Roman" w:eastAsia="仿宋_GB2312"/>
          <w:color w:val="000000"/>
        </w:rPr>
        <w:sectPr>
          <w:headerReference r:id="rId6" w:type="first"/>
          <w:pgSz w:w="11907" w:h="16840"/>
          <w:pgMar w:top="1440" w:right="1797" w:bottom="1440" w:left="1797" w:header="851" w:footer="992" w:gutter="0"/>
          <w:cols w:space="720" w:num="1"/>
          <w:titlePg/>
          <w:docGrid w:linePitch="312" w:charSpace="0"/>
        </w:sectPr>
      </w:pPr>
    </w:p>
    <w:tbl>
      <w:tblPr>
        <w:tblStyle w:val="38"/>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9" w:hRule="atLeast"/>
        </w:trPr>
        <w:tc>
          <w:tcPr>
            <w:tcW w:w="5000" w:type="pct"/>
          </w:tcPr>
          <w:p>
            <w:pPr>
              <w:pStyle w:val="78"/>
              <w:spacing w:line="480" w:lineRule="exact"/>
              <w:rPr>
                <w:rFonts w:eastAsia="仿宋_GB2312"/>
                <w:b/>
                <w:bCs/>
                <w:color w:val="000000"/>
                <w:szCs w:val="24"/>
              </w:rPr>
            </w:pPr>
            <w:bookmarkStart w:id="8" w:name="_Hlk37946324"/>
            <w:r>
              <w:rPr>
                <w:rFonts w:eastAsia="仿宋_GB2312"/>
                <w:b/>
                <w:bCs/>
                <w:color w:val="000000"/>
                <w:szCs w:val="24"/>
              </w:rPr>
              <w:t>表5-4 有组织大气污染物产生、排放情况一览表</w:t>
            </w:r>
          </w:p>
          <w:tbl>
            <w:tblPr>
              <w:tblStyle w:val="38"/>
              <w:tblW w:w="141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79"/>
              <w:gridCol w:w="1155"/>
              <w:gridCol w:w="1052"/>
              <w:gridCol w:w="1085"/>
              <w:gridCol w:w="1053"/>
              <w:gridCol w:w="1150"/>
              <w:gridCol w:w="1127"/>
              <w:gridCol w:w="1124"/>
              <w:gridCol w:w="985"/>
              <w:gridCol w:w="1008"/>
              <w:gridCol w:w="1121"/>
              <w:gridCol w:w="829"/>
              <w:gridCol w:w="8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0" w:type="pct"/>
                  <w:vMerge w:val="restart"/>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bookmarkStart w:id="9" w:name="_Hlk37337639"/>
                  <w:r>
                    <w:rPr>
                      <w:rFonts w:ascii="Times New Roman" w:hAnsi="Times New Roman" w:eastAsia="仿宋_GB2312"/>
                      <w:b/>
                      <w:color w:val="000000"/>
                      <w:szCs w:val="21"/>
                    </w:rPr>
                    <w:t>污染源</w:t>
                  </w:r>
                </w:p>
              </w:tc>
              <w:tc>
                <w:tcPr>
                  <w:tcW w:w="310" w:type="pct"/>
                  <w:vMerge w:val="restart"/>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废气量</w:t>
                  </w:r>
                </w:p>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m</w:t>
                  </w:r>
                  <w:r>
                    <w:rPr>
                      <w:rFonts w:ascii="Times New Roman" w:hAnsi="Times New Roman" w:eastAsia="仿宋_GB2312"/>
                      <w:b/>
                      <w:color w:val="000000"/>
                      <w:szCs w:val="21"/>
                      <w:vertAlign w:val="superscript"/>
                    </w:rPr>
                    <w:t>3</w:t>
                  </w:r>
                  <w:r>
                    <w:rPr>
                      <w:rFonts w:ascii="Times New Roman" w:hAnsi="Times New Roman" w:eastAsia="仿宋_GB2312"/>
                      <w:b/>
                      <w:color w:val="000000"/>
                      <w:szCs w:val="21"/>
                    </w:rPr>
                    <w:t>/h</w:t>
                  </w:r>
                </w:p>
              </w:tc>
              <w:tc>
                <w:tcPr>
                  <w:tcW w:w="407" w:type="pct"/>
                  <w:vMerge w:val="restart"/>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污染物名称</w:t>
                  </w:r>
                </w:p>
              </w:tc>
              <w:tc>
                <w:tcPr>
                  <w:tcW w:w="1124" w:type="pct"/>
                  <w:gridSpan w:val="3"/>
                  <w:shd w:val="clear" w:color="auto" w:fill="auto"/>
                  <w:vAlign w:val="center"/>
                </w:tcPr>
                <w:p>
                  <w:pPr>
                    <w:widowControl/>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产生状况</w:t>
                  </w:r>
                </w:p>
              </w:tc>
              <w:tc>
                <w:tcPr>
                  <w:tcW w:w="405" w:type="pct"/>
                  <w:vMerge w:val="restart"/>
                  <w:shd w:val="clear" w:color="auto" w:fill="auto"/>
                  <w:vAlign w:val="center"/>
                </w:tcPr>
                <w:p>
                  <w:pPr>
                    <w:widowControl/>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处理</w:t>
                  </w:r>
                </w:p>
                <w:p>
                  <w:pPr>
                    <w:widowControl/>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措施</w:t>
                  </w:r>
                </w:p>
              </w:tc>
              <w:tc>
                <w:tcPr>
                  <w:tcW w:w="397" w:type="pct"/>
                  <w:vMerge w:val="restart"/>
                  <w:shd w:val="clear" w:color="auto" w:fill="auto"/>
                  <w:vAlign w:val="center"/>
                </w:tcPr>
                <w:p>
                  <w:pPr>
                    <w:widowControl/>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处理效率</w:t>
                  </w:r>
                  <w:r>
                    <w:rPr>
                      <w:rFonts w:hint="eastAsia" w:ascii="Times New Roman" w:hAnsi="Times New Roman" w:eastAsia="仿宋_GB2312"/>
                      <w:b/>
                      <w:color w:val="000000"/>
                      <w:szCs w:val="21"/>
                    </w:rPr>
                    <w:t>%</w:t>
                  </w:r>
                </w:p>
              </w:tc>
              <w:tc>
                <w:tcPr>
                  <w:tcW w:w="1098" w:type="pct"/>
                  <w:gridSpan w:val="3"/>
                  <w:shd w:val="clear" w:color="auto" w:fill="auto"/>
                  <w:vAlign w:val="center"/>
                </w:tcPr>
                <w:p>
                  <w:pPr>
                    <w:widowControl/>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排放状况</w:t>
                  </w:r>
                </w:p>
              </w:tc>
              <w:tc>
                <w:tcPr>
                  <w:tcW w:w="687" w:type="pct"/>
                  <w:gridSpan w:val="2"/>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执行标准</w:t>
                  </w:r>
                </w:p>
              </w:tc>
              <w:tc>
                <w:tcPr>
                  <w:tcW w:w="284" w:type="pct"/>
                  <w:vMerge w:val="restart"/>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排放</w:t>
                  </w:r>
                </w:p>
                <w:p>
                  <w:pPr>
                    <w:pStyle w:val="11"/>
                    <w:adjustRightInd w:val="0"/>
                    <w:snapToGrid w:val="0"/>
                    <w:ind w:firstLine="0"/>
                    <w:jc w:val="center"/>
                    <w:rPr>
                      <w:rFonts w:ascii="Times New Roman" w:hAnsi="Times New Roman" w:eastAsia="仿宋_GB2312"/>
                      <w:b/>
                      <w:color w:val="000000"/>
                      <w:szCs w:val="21"/>
                    </w:rPr>
                  </w:pPr>
                  <w:r>
                    <w:rPr>
                      <w:rFonts w:hint="eastAsia" w:ascii="Times New Roman" w:hAnsi="Times New Roman" w:eastAsia="仿宋_GB2312"/>
                      <w:b/>
                      <w:color w:val="000000"/>
                      <w:szCs w:val="21"/>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0"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310"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407"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371"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产生量</w:t>
                  </w:r>
                  <w:r>
                    <w:rPr>
                      <w:rFonts w:hint="eastAsia" w:ascii="Times New Roman" w:hAnsi="Times New Roman" w:eastAsia="仿宋_GB2312"/>
                      <w:b/>
                      <w:color w:val="000000"/>
                      <w:szCs w:val="21"/>
                      <w:vertAlign w:val="superscript"/>
                    </w:rPr>
                    <w:t>[</w:t>
                  </w:r>
                  <w:r>
                    <w:rPr>
                      <w:rFonts w:ascii="Times New Roman" w:hAnsi="Times New Roman" w:eastAsia="仿宋_GB2312"/>
                      <w:b/>
                      <w:color w:val="000000"/>
                      <w:szCs w:val="21"/>
                      <w:vertAlign w:val="superscript"/>
                    </w:rPr>
                    <w:t>1]</w:t>
                  </w:r>
                </w:p>
                <w:p>
                  <w:pPr>
                    <w:adjustRightInd w:val="0"/>
                    <w:snapToGrid w:val="0"/>
                    <w:jc w:val="center"/>
                    <w:rPr>
                      <w:rFonts w:ascii="Times New Roman" w:hAnsi="Times New Roman" w:eastAsia="仿宋_GB2312"/>
                      <w:b/>
                      <w:color w:val="000000"/>
                      <w:szCs w:val="21"/>
                    </w:rPr>
                  </w:pPr>
                  <w:r>
                    <w:rPr>
                      <w:rFonts w:hint="eastAsia" w:ascii="Times New Roman" w:hAnsi="Times New Roman" w:eastAsia="仿宋_GB2312"/>
                      <w:b/>
                      <w:color w:val="000000"/>
                      <w:szCs w:val="21"/>
                    </w:rPr>
                    <w:t>t</w:t>
                  </w:r>
                  <w:r>
                    <w:rPr>
                      <w:rFonts w:ascii="Times New Roman" w:hAnsi="Times New Roman" w:eastAsia="仿宋_GB2312"/>
                      <w:b/>
                      <w:color w:val="000000"/>
                      <w:szCs w:val="21"/>
                    </w:rPr>
                    <w:t>/a</w:t>
                  </w:r>
                </w:p>
              </w:tc>
              <w:tc>
                <w:tcPr>
                  <w:tcW w:w="382"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浓度</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mg/m</w:t>
                  </w:r>
                  <w:r>
                    <w:rPr>
                      <w:rFonts w:ascii="Times New Roman" w:hAnsi="Times New Roman" w:eastAsia="仿宋_GB2312"/>
                      <w:b/>
                      <w:color w:val="000000"/>
                      <w:szCs w:val="21"/>
                      <w:vertAlign w:val="superscript"/>
                    </w:rPr>
                    <w:t>3</w:t>
                  </w:r>
                </w:p>
              </w:tc>
              <w:tc>
                <w:tcPr>
                  <w:tcW w:w="371"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速率</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kg/h</w:t>
                  </w:r>
                </w:p>
              </w:tc>
              <w:tc>
                <w:tcPr>
                  <w:tcW w:w="405" w:type="pct"/>
                  <w:vMerge w:val="continue"/>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p>
              </w:tc>
              <w:tc>
                <w:tcPr>
                  <w:tcW w:w="397" w:type="pct"/>
                  <w:vMerge w:val="continue"/>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p>
              </w:tc>
              <w:tc>
                <w:tcPr>
                  <w:tcW w:w="396"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排放量</w:t>
                  </w:r>
                </w:p>
                <w:p>
                  <w:pPr>
                    <w:adjustRightInd w:val="0"/>
                    <w:snapToGrid w:val="0"/>
                    <w:jc w:val="center"/>
                    <w:rPr>
                      <w:rFonts w:ascii="Times New Roman" w:hAnsi="Times New Roman" w:eastAsia="仿宋_GB2312"/>
                      <w:b/>
                      <w:color w:val="000000"/>
                      <w:szCs w:val="21"/>
                    </w:rPr>
                  </w:pPr>
                  <w:r>
                    <w:rPr>
                      <w:rFonts w:hint="eastAsia" w:ascii="Times New Roman" w:hAnsi="Times New Roman" w:eastAsia="仿宋_GB2312"/>
                      <w:b/>
                      <w:color w:val="000000"/>
                      <w:szCs w:val="21"/>
                    </w:rPr>
                    <w:t>t</w:t>
                  </w:r>
                  <w:r>
                    <w:rPr>
                      <w:rFonts w:ascii="Times New Roman" w:hAnsi="Times New Roman" w:eastAsia="仿宋_GB2312"/>
                      <w:b/>
                      <w:color w:val="000000"/>
                      <w:szCs w:val="21"/>
                    </w:rPr>
                    <w:t>/a</w:t>
                  </w:r>
                </w:p>
              </w:tc>
              <w:tc>
                <w:tcPr>
                  <w:tcW w:w="347"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浓度</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mg/m</w:t>
                  </w:r>
                  <w:r>
                    <w:rPr>
                      <w:rFonts w:ascii="Times New Roman" w:hAnsi="Times New Roman" w:eastAsia="仿宋_GB2312"/>
                      <w:b/>
                      <w:color w:val="000000"/>
                      <w:szCs w:val="21"/>
                      <w:vertAlign w:val="superscript"/>
                    </w:rPr>
                    <w:t>3</w:t>
                  </w:r>
                </w:p>
              </w:tc>
              <w:tc>
                <w:tcPr>
                  <w:tcW w:w="355"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速率</w:t>
                  </w:r>
                </w:p>
                <w:p>
                  <w:pPr>
                    <w:adjustRightInd w:val="0"/>
                    <w:snapToGrid w:val="0"/>
                    <w:jc w:val="center"/>
                    <w:rPr>
                      <w:rFonts w:ascii="Times New Roman" w:hAnsi="Times New Roman" w:eastAsia="仿宋_GB2312"/>
                      <w:b/>
                      <w:color w:val="000000"/>
                      <w:szCs w:val="21"/>
                    </w:rPr>
                  </w:pPr>
                  <w:r>
                    <w:rPr>
                      <w:rFonts w:hint="eastAsia" w:ascii="Times New Roman" w:hAnsi="Times New Roman" w:eastAsia="仿宋_GB2312"/>
                      <w:b/>
                      <w:color w:val="000000"/>
                      <w:szCs w:val="21"/>
                    </w:rPr>
                    <w:t>kg</w:t>
                  </w:r>
                  <w:r>
                    <w:rPr>
                      <w:rFonts w:ascii="Times New Roman" w:hAnsi="Times New Roman" w:eastAsia="仿宋_GB2312"/>
                      <w:b/>
                      <w:color w:val="000000"/>
                      <w:szCs w:val="21"/>
                    </w:rPr>
                    <w:t>/h</w:t>
                  </w:r>
                </w:p>
              </w:tc>
              <w:tc>
                <w:tcPr>
                  <w:tcW w:w="395" w:type="pct"/>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浓度mg/m</w:t>
                  </w:r>
                  <w:r>
                    <w:rPr>
                      <w:rFonts w:ascii="Times New Roman" w:hAnsi="Times New Roman" w:eastAsia="仿宋_GB2312"/>
                      <w:b/>
                      <w:color w:val="000000"/>
                      <w:szCs w:val="21"/>
                      <w:vertAlign w:val="superscript"/>
                    </w:rPr>
                    <w:t>3</w:t>
                  </w:r>
                </w:p>
              </w:tc>
              <w:tc>
                <w:tcPr>
                  <w:tcW w:w="292" w:type="pct"/>
                  <w:shd w:val="clear" w:color="auto" w:fill="auto"/>
                  <w:vAlign w:val="center"/>
                </w:tcPr>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速率</w:t>
                  </w:r>
                </w:p>
                <w:p>
                  <w:pPr>
                    <w:pStyle w:val="11"/>
                    <w:adjustRightInd w:val="0"/>
                    <w:snapToGrid w:val="0"/>
                    <w:ind w:firstLine="0"/>
                    <w:jc w:val="center"/>
                    <w:rPr>
                      <w:rFonts w:ascii="Times New Roman" w:hAnsi="Times New Roman" w:eastAsia="仿宋_GB2312"/>
                      <w:b/>
                      <w:color w:val="000000"/>
                      <w:szCs w:val="21"/>
                    </w:rPr>
                  </w:pPr>
                  <w:r>
                    <w:rPr>
                      <w:rFonts w:ascii="Times New Roman" w:hAnsi="Times New Roman" w:eastAsia="仿宋_GB2312"/>
                      <w:b/>
                      <w:color w:val="000000"/>
                      <w:szCs w:val="21"/>
                    </w:rPr>
                    <w:t>kg/h</w:t>
                  </w:r>
                </w:p>
              </w:tc>
              <w:tc>
                <w:tcPr>
                  <w:tcW w:w="284"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0" w:type="pct"/>
                  <w:vMerge w:val="restart"/>
                  <w:shd w:val="clear" w:color="auto" w:fill="auto"/>
                  <w:vAlign w:val="center"/>
                </w:tcPr>
                <w:p>
                  <w:pPr>
                    <w:pStyle w:val="11"/>
                    <w:adjustRightInd w:val="0"/>
                    <w:snapToGrid w:val="0"/>
                    <w:ind w:firstLine="0"/>
                    <w:jc w:val="center"/>
                    <w:rPr>
                      <w:rFonts w:ascii="Times New Roman" w:hAnsi="Times New Roman" w:eastAsia="仿宋_GB2312"/>
                      <w:color w:val="000000"/>
                      <w:szCs w:val="21"/>
                    </w:rPr>
                  </w:pPr>
                  <w:r>
                    <w:rPr>
                      <w:rFonts w:hint="eastAsia" w:ascii="Times New Roman" w:hAnsi="Times New Roman" w:eastAsia="仿宋_GB2312"/>
                      <w:color w:val="000000"/>
                      <w:szCs w:val="21"/>
                    </w:rPr>
                    <w:t>实验室</w:t>
                  </w:r>
                </w:p>
              </w:tc>
              <w:tc>
                <w:tcPr>
                  <w:tcW w:w="310" w:type="pct"/>
                  <w:vMerge w:val="restar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3</w:t>
                  </w:r>
                  <w:r>
                    <w:rPr>
                      <w:rFonts w:ascii="Times New Roman" w:hAnsi="Times New Roman" w:eastAsia="仿宋_GB2312"/>
                      <w:color w:val="000000"/>
                      <w:kern w:val="0"/>
                      <w:szCs w:val="21"/>
                    </w:rPr>
                    <w:t>0000</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氯化氢</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0.00074</w:t>
                  </w:r>
                </w:p>
              </w:tc>
              <w:tc>
                <w:tcPr>
                  <w:tcW w:w="38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.013</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0.0004</w:t>
                  </w:r>
                </w:p>
              </w:tc>
              <w:tc>
                <w:tcPr>
                  <w:tcW w:w="405" w:type="pct"/>
                  <w:vMerge w:val="restart"/>
                  <w:shd w:val="clear" w:color="auto" w:fill="auto"/>
                  <w:vAlign w:val="center"/>
                </w:tcPr>
                <w:p>
                  <w:pPr>
                    <w:pStyle w:val="11"/>
                    <w:adjustRightInd w:val="0"/>
                    <w:snapToGrid w:val="0"/>
                    <w:ind w:firstLine="0"/>
                    <w:jc w:val="center"/>
                    <w:rPr>
                      <w:rFonts w:ascii="Times New Roman" w:hAnsi="Times New Roman" w:eastAsia="仿宋_GB2312"/>
                      <w:color w:val="000000"/>
                      <w:kern w:val="21"/>
                      <w:szCs w:val="21"/>
                      <w:lang w:val="zh-CN"/>
                    </w:rPr>
                  </w:pPr>
                  <w:r>
                    <w:rPr>
                      <w:rFonts w:ascii="Times New Roman" w:hAnsi="Times New Roman" w:eastAsia="仿宋_GB2312"/>
                      <w:color w:val="000000"/>
                      <w:kern w:val="21"/>
                      <w:szCs w:val="21"/>
                      <w:lang w:val="zh-CN"/>
                    </w:rPr>
                    <w:t>通风橱或集气罩收集+活性炭吸附</w:t>
                  </w: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0.00074</w:t>
                  </w:r>
                </w:p>
              </w:tc>
              <w:tc>
                <w:tcPr>
                  <w:tcW w:w="347"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.013</w:t>
                  </w:r>
                </w:p>
              </w:tc>
              <w:tc>
                <w:tcPr>
                  <w:tcW w:w="35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0.0004</w:t>
                  </w:r>
                </w:p>
              </w:tc>
              <w:tc>
                <w:tcPr>
                  <w:tcW w:w="39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00</w:t>
                  </w:r>
                </w:p>
              </w:tc>
              <w:tc>
                <w:tcPr>
                  <w:tcW w:w="29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.46</w:t>
                  </w:r>
                </w:p>
              </w:tc>
              <w:tc>
                <w:tcPr>
                  <w:tcW w:w="284" w:type="pct"/>
                  <w:vMerge w:val="restart"/>
                  <w:shd w:val="clear" w:color="auto" w:fill="auto"/>
                  <w:vAlign w:val="center"/>
                </w:tcPr>
                <w:p>
                  <w:pPr>
                    <w:adjustRightInd w:val="0"/>
                    <w:snapToGrid w:val="0"/>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w:t>
                  </w:r>
                  <w:r>
                    <w:rPr>
                      <w:rFonts w:hint="eastAsia" w:ascii="Times New Roman" w:hAnsi="Times New Roman" w:eastAsia="仿宋_GB2312"/>
                      <w:color w:val="000000"/>
                      <w:kern w:val="0"/>
                      <w:szCs w:val="21"/>
                    </w:rPr>
                    <w:t>#排气筒</w:t>
                  </w:r>
                  <w:r>
                    <w:rPr>
                      <w:rFonts w:ascii="Times New Roman" w:hAnsi="Times New Roman" w:eastAsia="仿宋_GB2312"/>
                      <w:color w:val="000000"/>
                      <w:kern w:val="0"/>
                      <w:szCs w:val="21"/>
                    </w:rPr>
                    <w:t>H:25m</w:t>
                  </w:r>
                </w:p>
                <w:p>
                  <w:pPr>
                    <w:adjustRightInd w:val="0"/>
                    <w:snapToGrid w:val="0"/>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d:0.7</w:t>
                  </w:r>
                  <w:r>
                    <w:rPr>
                      <w:rFonts w:hint="eastAsia" w:ascii="Times New Roman" w:hAnsi="Times New Roman" w:eastAsia="仿宋_GB2312"/>
                      <w:color w:val="000000"/>
                      <w:kern w:val="0"/>
                      <w:szCs w:val="21"/>
                    </w:rPr>
                    <w:t>m</w:t>
                  </w:r>
                </w:p>
                <w:p>
                  <w:pPr>
                    <w:adjustRightInd w:val="0"/>
                    <w:snapToGrid w:val="0"/>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0"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310" w:type="pct"/>
                  <w:vMerge w:val="continue"/>
                  <w:shd w:val="clear" w:color="auto" w:fill="auto"/>
                  <w:vAlign w:val="center"/>
                </w:tcPr>
                <w:p>
                  <w:pPr>
                    <w:jc w:val="center"/>
                    <w:rPr>
                      <w:rFonts w:ascii="Times New Roman" w:hAnsi="Times New Roman" w:eastAsia="仿宋_GB2312"/>
                      <w:color w:val="000000"/>
                      <w:kern w:val="0"/>
                      <w:szCs w:val="21"/>
                    </w:rPr>
                  </w:pP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硫酸雾</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0.000931</w:t>
                  </w:r>
                </w:p>
              </w:tc>
              <w:tc>
                <w:tcPr>
                  <w:tcW w:w="38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.017</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0.0005</w:t>
                  </w:r>
                </w:p>
              </w:tc>
              <w:tc>
                <w:tcPr>
                  <w:tcW w:w="405"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kern w:val="21"/>
                      <w:szCs w:val="21"/>
                      <w:lang w:val="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0.000931</w:t>
                  </w:r>
                </w:p>
              </w:tc>
              <w:tc>
                <w:tcPr>
                  <w:tcW w:w="347"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.017</w:t>
                  </w:r>
                </w:p>
              </w:tc>
              <w:tc>
                <w:tcPr>
                  <w:tcW w:w="35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0.0005</w:t>
                  </w:r>
                </w:p>
              </w:tc>
              <w:tc>
                <w:tcPr>
                  <w:tcW w:w="39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4</w:t>
                  </w:r>
                  <w:r>
                    <w:rPr>
                      <w:rFonts w:ascii="Times New Roman" w:hAnsi="Times New Roman" w:eastAsia="仿宋_GB2312"/>
                      <w:color w:val="000000"/>
                      <w:kern w:val="0"/>
                      <w:szCs w:val="21"/>
                    </w:rPr>
                    <w:t>5</w:t>
                  </w:r>
                </w:p>
              </w:tc>
              <w:tc>
                <w:tcPr>
                  <w:tcW w:w="29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2</w:t>
                  </w:r>
                  <w:r>
                    <w:rPr>
                      <w:rFonts w:ascii="Times New Roman" w:hAnsi="Times New Roman" w:eastAsia="仿宋_GB2312"/>
                      <w:color w:val="000000"/>
                      <w:kern w:val="0"/>
                      <w:szCs w:val="21"/>
                    </w:rPr>
                    <w:t>.85</w:t>
                  </w:r>
                </w:p>
              </w:tc>
              <w:tc>
                <w:tcPr>
                  <w:tcW w:w="284" w:type="pct"/>
                  <w:vMerge w:val="continue"/>
                  <w:shd w:val="clear" w:color="auto" w:fill="auto"/>
                  <w:vAlign w:val="center"/>
                </w:tcPr>
                <w:p>
                  <w:pPr>
                    <w:adjustRightInd w:val="0"/>
                    <w:snapToGrid w:val="0"/>
                    <w:jc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0"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310" w:type="pct"/>
                  <w:vMerge w:val="continue"/>
                  <w:shd w:val="clear" w:color="auto" w:fill="auto"/>
                  <w:vAlign w:val="center"/>
                </w:tcPr>
                <w:p>
                  <w:pPr>
                    <w:jc w:val="center"/>
                    <w:rPr>
                      <w:rFonts w:ascii="Times New Roman" w:hAnsi="Times New Roman" w:eastAsia="仿宋_GB2312"/>
                      <w:color w:val="000000"/>
                      <w:kern w:val="0"/>
                      <w:szCs w:val="21"/>
                    </w:rPr>
                  </w:pP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氮氧化物</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0.000276</w:t>
                  </w:r>
                </w:p>
              </w:tc>
              <w:tc>
                <w:tcPr>
                  <w:tcW w:w="38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.005</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0.00014</w:t>
                  </w:r>
                </w:p>
              </w:tc>
              <w:tc>
                <w:tcPr>
                  <w:tcW w:w="405"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kern w:val="21"/>
                      <w:szCs w:val="21"/>
                      <w:lang w:val="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0.000276</w:t>
                  </w:r>
                </w:p>
              </w:tc>
              <w:tc>
                <w:tcPr>
                  <w:tcW w:w="347"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.005</w:t>
                  </w:r>
                </w:p>
              </w:tc>
              <w:tc>
                <w:tcPr>
                  <w:tcW w:w="35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0.00014</w:t>
                  </w:r>
                </w:p>
              </w:tc>
              <w:tc>
                <w:tcPr>
                  <w:tcW w:w="39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2</w:t>
                  </w:r>
                  <w:r>
                    <w:rPr>
                      <w:rFonts w:ascii="Times New Roman" w:hAnsi="Times New Roman" w:eastAsia="仿宋_GB2312"/>
                      <w:color w:val="000000"/>
                      <w:kern w:val="0"/>
                      <w:szCs w:val="21"/>
                    </w:rPr>
                    <w:t>40</w:t>
                  </w:r>
                </w:p>
              </w:tc>
              <w:tc>
                <w:tcPr>
                  <w:tcW w:w="29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.43</w:t>
                  </w:r>
                </w:p>
              </w:tc>
              <w:tc>
                <w:tcPr>
                  <w:tcW w:w="284" w:type="pct"/>
                  <w:vMerge w:val="continue"/>
                  <w:shd w:val="clear" w:color="auto" w:fill="auto"/>
                  <w:vAlign w:val="center"/>
                </w:tcPr>
                <w:p>
                  <w:pPr>
                    <w:adjustRightInd w:val="0"/>
                    <w:snapToGrid w:val="0"/>
                    <w:jc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0"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310" w:type="pct"/>
                  <w:vMerge w:val="continue"/>
                  <w:shd w:val="clear" w:color="auto" w:fill="auto"/>
                  <w:vAlign w:val="center"/>
                </w:tcPr>
                <w:p>
                  <w:pPr>
                    <w:jc w:val="center"/>
                    <w:rPr>
                      <w:rFonts w:ascii="Times New Roman" w:hAnsi="Times New Roman" w:eastAsia="仿宋_GB2312"/>
                      <w:color w:val="000000"/>
                      <w:kern w:val="0"/>
                      <w:szCs w:val="21"/>
                    </w:rPr>
                  </w:pP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氟化物</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0.000192</w:t>
                  </w:r>
                </w:p>
              </w:tc>
              <w:tc>
                <w:tcPr>
                  <w:tcW w:w="38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.003</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.0001</w:t>
                  </w:r>
                </w:p>
              </w:tc>
              <w:tc>
                <w:tcPr>
                  <w:tcW w:w="405"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kern w:val="21"/>
                      <w:szCs w:val="21"/>
                      <w:lang w:val="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0.000192</w:t>
                  </w:r>
                </w:p>
              </w:tc>
              <w:tc>
                <w:tcPr>
                  <w:tcW w:w="347"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.003</w:t>
                  </w:r>
                </w:p>
              </w:tc>
              <w:tc>
                <w:tcPr>
                  <w:tcW w:w="35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.0001</w:t>
                  </w:r>
                </w:p>
              </w:tc>
              <w:tc>
                <w:tcPr>
                  <w:tcW w:w="39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9</w:t>
                  </w:r>
                </w:p>
              </w:tc>
              <w:tc>
                <w:tcPr>
                  <w:tcW w:w="29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.19</w:t>
                  </w:r>
                </w:p>
              </w:tc>
              <w:tc>
                <w:tcPr>
                  <w:tcW w:w="284" w:type="pct"/>
                  <w:vMerge w:val="continue"/>
                  <w:shd w:val="clear" w:color="auto" w:fill="auto"/>
                  <w:vAlign w:val="center"/>
                </w:tcPr>
                <w:p>
                  <w:pPr>
                    <w:adjustRightInd w:val="0"/>
                    <w:snapToGrid w:val="0"/>
                    <w:jc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0"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szCs w:val="21"/>
                    </w:rPr>
                  </w:pPr>
                </w:p>
              </w:tc>
              <w:tc>
                <w:tcPr>
                  <w:tcW w:w="310" w:type="pct"/>
                  <w:vMerge w:val="continue"/>
                  <w:shd w:val="clear" w:color="auto" w:fill="auto"/>
                  <w:vAlign w:val="center"/>
                </w:tcPr>
                <w:p>
                  <w:pPr>
                    <w:jc w:val="center"/>
                    <w:rPr>
                      <w:rFonts w:ascii="Times New Roman" w:hAnsi="Times New Roman" w:eastAsia="仿宋_GB2312"/>
                      <w:color w:val="000000"/>
                      <w:kern w:val="0"/>
                      <w:szCs w:val="21"/>
                    </w:rPr>
                  </w:pP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VOCs</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0.064</w:t>
                  </w:r>
                </w:p>
              </w:tc>
              <w:tc>
                <w:tcPr>
                  <w:tcW w:w="38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.06</w:t>
                  </w:r>
                </w:p>
              </w:tc>
              <w:tc>
                <w:tcPr>
                  <w:tcW w:w="37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.032</w:t>
                  </w:r>
                </w:p>
              </w:tc>
              <w:tc>
                <w:tcPr>
                  <w:tcW w:w="405" w:type="pct"/>
                  <w:vMerge w:val="continue"/>
                  <w:shd w:val="clear" w:color="auto" w:fill="auto"/>
                  <w:vAlign w:val="center"/>
                </w:tcPr>
                <w:p>
                  <w:pPr>
                    <w:pStyle w:val="11"/>
                    <w:adjustRightInd w:val="0"/>
                    <w:snapToGrid w:val="0"/>
                    <w:ind w:firstLine="0"/>
                    <w:jc w:val="center"/>
                    <w:rPr>
                      <w:rFonts w:ascii="Times New Roman" w:hAnsi="Times New Roman" w:eastAsia="仿宋_GB2312"/>
                      <w:color w:val="000000"/>
                      <w:kern w:val="21"/>
                      <w:szCs w:val="21"/>
                      <w:lang w:val="zh-CN"/>
                    </w:rPr>
                  </w:pPr>
                </w:p>
              </w:tc>
              <w:tc>
                <w:tcPr>
                  <w:tcW w:w="3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60</w:t>
                  </w:r>
                </w:p>
              </w:tc>
              <w:tc>
                <w:tcPr>
                  <w:tcW w:w="396"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.0256</w:t>
                  </w:r>
                </w:p>
              </w:tc>
              <w:tc>
                <w:tcPr>
                  <w:tcW w:w="347"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.43</w:t>
                  </w:r>
                </w:p>
              </w:tc>
              <w:tc>
                <w:tcPr>
                  <w:tcW w:w="35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0.0128</w:t>
                  </w:r>
                </w:p>
              </w:tc>
              <w:tc>
                <w:tcPr>
                  <w:tcW w:w="395"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60</w:t>
                  </w:r>
                </w:p>
              </w:tc>
              <w:tc>
                <w:tcPr>
                  <w:tcW w:w="292"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4.60</w:t>
                  </w:r>
                </w:p>
              </w:tc>
              <w:tc>
                <w:tcPr>
                  <w:tcW w:w="284" w:type="pct"/>
                  <w:vMerge w:val="continue"/>
                  <w:shd w:val="clear" w:color="auto" w:fill="auto"/>
                  <w:vAlign w:val="center"/>
                </w:tcPr>
                <w:p>
                  <w:pPr>
                    <w:adjustRightInd w:val="0"/>
                    <w:snapToGrid w:val="0"/>
                    <w:jc w:val="center"/>
                    <w:rPr>
                      <w:rFonts w:ascii="Times New Roman" w:hAnsi="Times New Roman" w:eastAsia="仿宋_GB2312"/>
                      <w:color w:val="000000"/>
                      <w:kern w:val="0"/>
                      <w:szCs w:val="21"/>
                    </w:rPr>
                  </w:pPr>
                </w:p>
              </w:tc>
            </w:tr>
            <w:bookmarkEnd w:id="9"/>
          </w:tbl>
          <w:p>
            <w:pPr>
              <w:pStyle w:val="78"/>
              <w:ind w:firstLine="630" w:firstLineChars="300"/>
              <w:jc w:val="left"/>
              <w:rPr>
                <w:rFonts w:eastAsia="仿宋_GB2312"/>
                <w:color w:val="000000"/>
                <w:sz w:val="21"/>
                <w:szCs w:val="24"/>
              </w:rPr>
            </w:pPr>
            <w:r>
              <w:rPr>
                <w:rFonts w:eastAsia="仿宋_GB2312"/>
                <w:color w:val="000000"/>
                <w:sz w:val="21"/>
                <w:szCs w:val="24"/>
              </w:rPr>
              <w:t>注：</w:t>
            </w:r>
            <w:r>
              <w:rPr>
                <w:rFonts w:hint="eastAsia" w:eastAsia="仿宋_GB2312"/>
                <w:color w:val="000000"/>
                <w:sz w:val="21"/>
                <w:szCs w:val="24"/>
              </w:rPr>
              <w:t>[</w:t>
            </w:r>
            <w:r>
              <w:rPr>
                <w:rFonts w:eastAsia="仿宋_GB2312"/>
                <w:color w:val="000000"/>
                <w:sz w:val="21"/>
                <w:szCs w:val="24"/>
              </w:rPr>
              <w:t>1]</w:t>
            </w:r>
            <w:r>
              <w:rPr>
                <w:rFonts w:hint="eastAsia" w:eastAsia="仿宋_GB2312"/>
                <w:color w:val="000000"/>
                <w:sz w:val="21"/>
                <w:szCs w:val="24"/>
              </w:rPr>
              <w:t>有组织废气产生量为通风橱或集气罩收集量，总收集效率分别为</w:t>
            </w:r>
            <w:r>
              <w:rPr>
                <w:rFonts w:eastAsia="仿宋_GB2312"/>
                <w:color w:val="000000"/>
                <w:sz w:val="21"/>
                <w:szCs w:val="24"/>
              </w:rPr>
              <w:t>80</w:t>
            </w:r>
            <w:r>
              <w:rPr>
                <w:rFonts w:hint="eastAsia" w:eastAsia="仿宋_GB2312"/>
                <w:color w:val="000000"/>
                <w:sz w:val="21"/>
                <w:szCs w:val="24"/>
              </w:rPr>
              <w:t>%和6</w:t>
            </w:r>
            <w:r>
              <w:rPr>
                <w:rFonts w:eastAsia="仿宋_GB2312"/>
                <w:color w:val="000000"/>
                <w:sz w:val="21"/>
                <w:szCs w:val="24"/>
              </w:rPr>
              <w:t>0</w:t>
            </w:r>
            <w:r>
              <w:rPr>
                <w:rFonts w:hint="eastAsia" w:eastAsia="仿宋_GB2312"/>
                <w:color w:val="000000"/>
                <w:sz w:val="21"/>
                <w:szCs w:val="24"/>
              </w:rPr>
              <w:t>%。</w:t>
            </w:r>
          </w:p>
          <w:p>
            <w:pPr>
              <w:pStyle w:val="78"/>
              <w:ind w:firstLine="210" w:firstLineChars="100"/>
              <w:jc w:val="left"/>
              <w:rPr>
                <w:rFonts w:eastAsia="仿宋_GB2312"/>
                <w:color w:val="000000"/>
                <w:sz w:val="21"/>
                <w:szCs w:val="24"/>
              </w:rPr>
            </w:pPr>
          </w:p>
          <w:p>
            <w:pPr>
              <w:pStyle w:val="78"/>
              <w:spacing w:line="480" w:lineRule="exact"/>
              <w:rPr>
                <w:rFonts w:eastAsia="仿宋_GB2312"/>
                <w:b/>
                <w:bCs/>
                <w:color w:val="000000"/>
                <w:szCs w:val="24"/>
              </w:rPr>
            </w:pPr>
            <w:r>
              <w:rPr>
                <w:rFonts w:eastAsia="仿宋_GB2312"/>
                <w:b/>
                <w:bCs/>
                <w:color w:val="000000"/>
                <w:szCs w:val="24"/>
              </w:rPr>
              <w:t>表5-5 无组织大气污染物产生、排放情况一览表</w:t>
            </w:r>
          </w:p>
          <w:tbl>
            <w:tblPr>
              <w:tblStyle w:val="3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1994"/>
              <w:gridCol w:w="1994"/>
              <w:gridCol w:w="1994"/>
              <w:gridCol w:w="1994"/>
              <w:gridCol w:w="1995"/>
              <w:gridCol w:w="1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94"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污染源</w:t>
                  </w:r>
                </w:p>
              </w:tc>
              <w:tc>
                <w:tcPr>
                  <w:tcW w:w="1994"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污染物名称</w:t>
                  </w:r>
                </w:p>
              </w:tc>
              <w:tc>
                <w:tcPr>
                  <w:tcW w:w="1994"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排放量（</w:t>
                  </w:r>
                  <w:r>
                    <w:rPr>
                      <w:rFonts w:hint="eastAsia" w:ascii="Times New Roman" w:hAnsi="Times New Roman" w:eastAsia="仿宋_GB2312"/>
                      <w:sz w:val="21"/>
                      <w:szCs w:val="21"/>
                    </w:rPr>
                    <w:t>t</w:t>
                  </w:r>
                  <w:r>
                    <w:rPr>
                      <w:rFonts w:ascii="Times New Roman" w:hAnsi="Times New Roman" w:eastAsia="仿宋_GB2312"/>
                      <w:sz w:val="21"/>
                      <w:szCs w:val="21"/>
                    </w:rPr>
                    <w:t>/a）</w:t>
                  </w:r>
                </w:p>
              </w:tc>
              <w:tc>
                <w:tcPr>
                  <w:tcW w:w="1994"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排放速率（kg/h）</w:t>
                  </w:r>
                </w:p>
              </w:tc>
              <w:tc>
                <w:tcPr>
                  <w:tcW w:w="1994"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面源宽度（m）</w:t>
                  </w:r>
                </w:p>
              </w:tc>
              <w:tc>
                <w:tcPr>
                  <w:tcW w:w="1995"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面源长度（m）</w:t>
                  </w:r>
                </w:p>
              </w:tc>
              <w:tc>
                <w:tcPr>
                  <w:tcW w:w="1995" w:type="dxa"/>
                  <w:shd w:val="clear" w:color="auto" w:fill="auto"/>
                  <w:vAlign w:val="center"/>
                </w:tcPr>
                <w:p>
                  <w:pPr>
                    <w:pStyle w:val="83"/>
                    <w:snapToGrid w:val="0"/>
                    <w:spacing w:line="240" w:lineRule="auto"/>
                    <w:jc w:val="center"/>
                    <w:rPr>
                      <w:rFonts w:ascii="Times New Roman" w:hAnsi="Times New Roman" w:eastAsia="仿宋_GB2312"/>
                      <w:sz w:val="21"/>
                      <w:szCs w:val="21"/>
                    </w:rPr>
                  </w:pPr>
                  <w:r>
                    <w:rPr>
                      <w:rFonts w:ascii="Times New Roman" w:hAnsi="Times New Roman" w:eastAsia="仿宋_GB2312"/>
                      <w:sz w:val="21"/>
                      <w:szCs w:val="21"/>
                    </w:rPr>
                    <w:t>面源高度（m）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94" w:type="dxa"/>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实验室</w:t>
                  </w: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VOCs</w:t>
                  </w: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0.0175</w:t>
                  </w: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0.00875</w:t>
                  </w:r>
                </w:p>
              </w:tc>
              <w:tc>
                <w:tcPr>
                  <w:tcW w:w="1994" w:type="dxa"/>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15</w:t>
                  </w:r>
                </w:p>
              </w:tc>
              <w:tc>
                <w:tcPr>
                  <w:tcW w:w="1995" w:type="dxa"/>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58</w:t>
                  </w:r>
                </w:p>
              </w:tc>
              <w:tc>
                <w:tcPr>
                  <w:tcW w:w="1995" w:type="dxa"/>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94" w:type="dxa"/>
                  <w:vMerge w:val="continue"/>
                  <w:shd w:val="clear" w:color="auto" w:fill="auto"/>
                  <w:vAlign w:val="center"/>
                </w:tcPr>
                <w:p>
                  <w:pPr>
                    <w:jc w:val="center"/>
                    <w:rPr>
                      <w:rFonts w:ascii="Times New Roman" w:hAnsi="Times New Roman" w:eastAsia="仿宋_GB2312"/>
                      <w:color w:val="000000"/>
                      <w:szCs w:val="21"/>
                    </w:rPr>
                  </w:pP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.000185</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w:t>
                  </w:r>
                </w:p>
              </w:tc>
              <w:tc>
                <w:tcPr>
                  <w:tcW w:w="1994"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94" w:type="dxa"/>
                  <w:vMerge w:val="continue"/>
                  <w:shd w:val="clear" w:color="auto" w:fill="auto"/>
                  <w:vAlign w:val="center"/>
                </w:tcPr>
                <w:p>
                  <w:pPr>
                    <w:jc w:val="center"/>
                    <w:rPr>
                      <w:rFonts w:ascii="Times New Roman" w:hAnsi="Times New Roman" w:eastAsia="仿宋_GB2312"/>
                      <w:color w:val="000000"/>
                      <w:szCs w:val="21"/>
                    </w:rPr>
                  </w:pP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.000069</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.000034</w:t>
                  </w:r>
                </w:p>
              </w:tc>
              <w:tc>
                <w:tcPr>
                  <w:tcW w:w="1994"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94" w:type="dxa"/>
                  <w:vMerge w:val="continue"/>
                  <w:shd w:val="clear" w:color="auto" w:fill="auto"/>
                  <w:vAlign w:val="center"/>
                </w:tcPr>
                <w:p>
                  <w:pPr>
                    <w:jc w:val="center"/>
                    <w:rPr>
                      <w:rFonts w:ascii="Times New Roman" w:hAnsi="Times New Roman" w:eastAsia="仿宋_GB2312"/>
                      <w:color w:val="000000"/>
                      <w:szCs w:val="21"/>
                    </w:rPr>
                  </w:pP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.000233</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w:t>
                  </w:r>
                </w:p>
              </w:tc>
              <w:tc>
                <w:tcPr>
                  <w:tcW w:w="1994"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94" w:type="dxa"/>
                  <w:vMerge w:val="continue"/>
                  <w:shd w:val="clear" w:color="auto" w:fill="auto"/>
                  <w:vAlign w:val="center"/>
                </w:tcPr>
                <w:p>
                  <w:pPr>
                    <w:jc w:val="center"/>
                    <w:rPr>
                      <w:rFonts w:ascii="Times New Roman" w:hAnsi="Times New Roman" w:eastAsia="仿宋_GB2312"/>
                      <w:color w:val="000000"/>
                      <w:szCs w:val="21"/>
                    </w:rPr>
                  </w:pPr>
                </w:p>
              </w:tc>
              <w:tc>
                <w:tcPr>
                  <w:tcW w:w="1994"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.000048</w:t>
                  </w:r>
                </w:p>
              </w:tc>
              <w:tc>
                <w:tcPr>
                  <w:tcW w:w="1994"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.000024</w:t>
                  </w:r>
                </w:p>
              </w:tc>
              <w:tc>
                <w:tcPr>
                  <w:tcW w:w="1994"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c>
                <w:tcPr>
                  <w:tcW w:w="1995" w:type="dxa"/>
                  <w:vMerge w:val="continue"/>
                  <w:shd w:val="clear" w:color="auto" w:fill="auto"/>
                  <w:vAlign w:val="center"/>
                </w:tcPr>
                <w:p>
                  <w:pPr>
                    <w:pStyle w:val="83"/>
                    <w:snapToGrid w:val="0"/>
                    <w:spacing w:line="240" w:lineRule="auto"/>
                    <w:jc w:val="center"/>
                    <w:rPr>
                      <w:rFonts w:ascii="Times New Roman" w:hAnsi="Times New Roman" w:eastAsia="仿宋_GB2312"/>
                      <w:b w:val="0"/>
                      <w:bCs/>
                      <w:sz w:val="21"/>
                      <w:szCs w:val="21"/>
                    </w:rPr>
                  </w:pPr>
                </w:p>
              </w:tc>
            </w:tr>
            <w:bookmarkEnd w:id="8"/>
          </w:tbl>
          <w:p>
            <w:pPr>
              <w:pStyle w:val="253"/>
              <w:rPr>
                <w:rFonts w:eastAsia="仿宋_GB2312"/>
                <w:color w:val="000000"/>
              </w:rPr>
            </w:pPr>
          </w:p>
        </w:tc>
      </w:tr>
    </w:tbl>
    <w:p>
      <w:pPr>
        <w:spacing w:line="480" w:lineRule="exact"/>
        <w:rPr>
          <w:rFonts w:ascii="Times New Roman" w:hAnsi="Times New Roman" w:eastAsia="仿宋_GB2312"/>
          <w:color w:val="000000"/>
        </w:rPr>
        <w:sectPr>
          <w:pgSz w:w="16840" w:h="11907" w:orient="landscape"/>
          <w:pgMar w:top="1797" w:right="1440" w:bottom="1797" w:left="1440" w:header="851" w:footer="992" w:gutter="0"/>
          <w:cols w:space="720" w:num="1"/>
          <w:titlePg/>
          <w:docGrid w:linePitch="312" w:charSpace="0"/>
        </w:sectPr>
      </w:pP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13" w:type="dxa"/>
            <w:tcBorders>
              <w:top w:val="single" w:color="auto" w:sz="4" w:space="0"/>
              <w:left w:val="single" w:color="auto" w:sz="4" w:space="0"/>
              <w:bottom w:val="single" w:color="auto" w:sz="4" w:space="0"/>
              <w:right w:val="single" w:color="auto" w:sz="4" w:space="0"/>
              <w:insideH w:val="single" w:sz="4" w:space="0"/>
              <w:insideV w:val="nil"/>
              <w:tl2br w:val="nil"/>
              <w:tr2bl w:val="nil"/>
            </w:tcBorders>
            <w:vAlign w:val="center"/>
          </w:tcPr>
          <w:p>
            <w:pPr>
              <w:autoSpaceDE w:val="0"/>
              <w:autoSpaceDN w:val="0"/>
              <w:adjustRightInd w:val="0"/>
              <w:snapToGrid w:val="0"/>
              <w:spacing w:line="500" w:lineRule="exact"/>
              <w:ind w:left="480"/>
              <w:rPr>
                <w:rFonts w:ascii="Times New Roman" w:hAnsi="Times New Roman" w:eastAsia="仿宋_GB2312"/>
                <w:b w:val="0"/>
                <w:color w:val="000000"/>
                <w:sz w:val="24"/>
                <w:szCs w:val="24"/>
              </w:rPr>
            </w:pPr>
            <w:bookmarkStart w:id="10" w:name="_Hlk37407996"/>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2 \* GB3 </w:instrText>
            </w:r>
            <w:r>
              <w:rPr>
                <w:rFonts w:ascii="Times New Roman" w:hAnsi="Times New Roman" w:eastAsia="仿宋_GB2312"/>
                <w:b/>
                <w:color w:val="000000"/>
                <w:sz w:val="24"/>
                <w:szCs w:val="24"/>
              </w:rPr>
              <w:fldChar w:fldCharType="separate"/>
            </w:r>
            <w:r>
              <w:rPr>
                <w:rFonts w:hint="eastAsia" w:ascii="宋体" w:hAnsi="宋体" w:cs="宋体"/>
                <w:b w:val="0"/>
                <w:color w:val="000000"/>
                <w:sz w:val="24"/>
                <w:szCs w:val="24"/>
              </w:rPr>
              <w:t>②</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 xml:space="preserve"> 废水</w:t>
            </w:r>
          </w:p>
          <w:p>
            <w:pPr>
              <w:autoSpaceDE w:val="0"/>
              <w:autoSpaceDN w:val="0"/>
              <w:adjustRightInd w:val="0"/>
              <w:snapToGrid w:val="0"/>
              <w:spacing w:line="500" w:lineRule="exact"/>
              <w:ind w:firstLine="482" w:firstLineChars="200"/>
              <w:rPr>
                <w:rFonts w:ascii="Times New Roman" w:hAnsi="Times New Roman" w:eastAsia="仿宋_GB2312"/>
                <w:b w:val="0"/>
                <w:color w:val="000000"/>
                <w:sz w:val="24"/>
                <w:szCs w:val="24"/>
              </w:rPr>
            </w:pPr>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1 \* alphabetic </w:instrText>
            </w:r>
            <w:r>
              <w:rPr>
                <w:rFonts w:ascii="Times New Roman" w:hAnsi="Times New Roman" w:eastAsia="仿宋_GB2312"/>
                <w:b/>
                <w:color w:val="000000"/>
                <w:sz w:val="24"/>
                <w:szCs w:val="24"/>
              </w:rPr>
              <w:fldChar w:fldCharType="separate"/>
            </w:r>
            <w:r>
              <w:rPr>
                <w:rFonts w:ascii="Times New Roman" w:hAnsi="Times New Roman" w:eastAsia="仿宋_GB2312"/>
                <w:b w:val="0"/>
                <w:color w:val="000000"/>
                <w:sz w:val="24"/>
                <w:szCs w:val="24"/>
              </w:rPr>
              <w:t>a</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、生活污水</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bookmarkStart w:id="11" w:name="_Hlk43126932"/>
            <w:r>
              <w:rPr>
                <w:rFonts w:ascii="Times New Roman" w:hAnsi="Times New Roman" w:eastAsia="仿宋_GB2312"/>
                <w:b w:val="0"/>
                <w:color w:val="000000"/>
                <w:sz w:val="24"/>
                <w:szCs w:val="24"/>
              </w:rPr>
              <w:t>项目职工定员27人，根据《江苏省工业、服务业和生活用水定额》（2014版），员工生活用水量按50 L/人·d计，则项目营运期生活用水总量约为337.5t/a，排放系数以0.8计，则生活污水排放量约为270t/a</w:t>
            </w:r>
            <w:bookmarkEnd w:id="11"/>
            <w:r>
              <w:rPr>
                <w:rFonts w:ascii="Times New Roman" w:hAnsi="Times New Roman" w:eastAsia="仿宋_GB2312"/>
                <w:b w:val="0"/>
                <w:color w:val="000000"/>
                <w:sz w:val="24"/>
                <w:szCs w:val="24"/>
              </w:rPr>
              <w:t>，主要污染物为：COD 400mg/L、SS 300mg/L、NH</w:t>
            </w:r>
            <w:r>
              <w:rPr>
                <w:rFonts w:ascii="Times New Roman" w:hAnsi="Times New Roman" w:eastAsia="仿宋_GB2312"/>
                <w:b w:val="0"/>
                <w:color w:val="000000"/>
                <w:sz w:val="24"/>
                <w:szCs w:val="24"/>
                <w:vertAlign w:val="subscript"/>
              </w:rPr>
              <w:t>3</w:t>
            </w:r>
            <w:r>
              <w:rPr>
                <w:rFonts w:ascii="Times New Roman" w:hAnsi="Times New Roman" w:eastAsia="仿宋_GB2312"/>
                <w:b w:val="0"/>
                <w:color w:val="000000"/>
                <w:sz w:val="24"/>
                <w:szCs w:val="24"/>
              </w:rPr>
              <w:t>-N 25mg/L和总磷4mg/L。</w:t>
            </w:r>
          </w:p>
          <w:p>
            <w:pPr>
              <w:autoSpaceDE w:val="0"/>
              <w:autoSpaceDN w:val="0"/>
              <w:adjustRightInd w:val="0"/>
              <w:snapToGrid w:val="0"/>
              <w:spacing w:line="500" w:lineRule="exact"/>
              <w:ind w:firstLine="482" w:firstLineChars="200"/>
              <w:rPr>
                <w:rFonts w:ascii="Times New Roman" w:hAnsi="Times New Roman" w:eastAsia="仿宋_GB2312"/>
                <w:b w:val="0"/>
                <w:color w:val="000000"/>
                <w:sz w:val="24"/>
                <w:szCs w:val="24"/>
              </w:rPr>
            </w:pPr>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2 \* alphabetic </w:instrText>
            </w:r>
            <w:r>
              <w:rPr>
                <w:rFonts w:ascii="Times New Roman" w:hAnsi="Times New Roman" w:eastAsia="仿宋_GB2312"/>
                <w:b/>
                <w:color w:val="000000"/>
                <w:sz w:val="24"/>
                <w:szCs w:val="24"/>
              </w:rPr>
              <w:fldChar w:fldCharType="separate"/>
            </w:r>
            <w:r>
              <w:rPr>
                <w:rFonts w:ascii="Times New Roman" w:hAnsi="Times New Roman" w:eastAsia="仿宋_GB2312"/>
                <w:b w:val="0"/>
                <w:color w:val="000000"/>
                <w:sz w:val="24"/>
                <w:szCs w:val="24"/>
              </w:rPr>
              <w:t>b</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反冲洗废水和反渗透浓水</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实验过程中用到的纯水由实验室纯水系统制备，主要用于试剂配制及器皿的润洗。项目用到的纯水约5t/a，纯水制备率为75%，则需要用到6.7t/a的自来水制备。</w:t>
            </w:r>
            <w:r>
              <w:rPr>
                <w:rFonts w:hint="eastAsia" w:ascii="Times New Roman" w:hAnsi="Times New Roman" w:eastAsia="仿宋_GB2312"/>
                <w:b w:val="0"/>
                <w:color w:val="000000"/>
                <w:sz w:val="24"/>
                <w:szCs w:val="24"/>
              </w:rPr>
              <w:t>制备过程中将产生1.7t/a的反冲洗废水和反渗透浓水。</w:t>
            </w:r>
            <w:r>
              <w:rPr>
                <w:rFonts w:ascii="Times New Roman" w:hAnsi="Times New Roman" w:eastAsia="仿宋_GB2312"/>
                <w:b w:val="0"/>
                <w:color w:val="000000"/>
                <w:sz w:val="24"/>
                <w:szCs w:val="24"/>
              </w:rPr>
              <w:t>主要污染物为COD 60mg/L、SS 20mg/L、NH</w:t>
            </w:r>
            <w:r>
              <w:rPr>
                <w:rFonts w:ascii="Times New Roman" w:hAnsi="Times New Roman" w:eastAsia="仿宋_GB2312"/>
                <w:b w:val="0"/>
                <w:color w:val="000000"/>
                <w:sz w:val="24"/>
                <w:szCs w:val="24"/>
                <w:vertAlign w:val="subscript"/>
              </w:rPr>
              <w:t>3</w:t>
            </w:r>
            <w:r>
              <w:rPr>
                <w:rFonts w:ascii="Times New Roman" w:hAnsi="Times New Roman" w:eastAsia="仿宋_GB2312"/>
                <w:b w:val="0"/>
                <w:color w:val="000000"/>
                <w:sz w:val="24"/>
                <w:szCs w:val="24"/>
              </w:rPr>
              <w:t>-N 8mg/L、总磷1mg/L。</w:t>
            </w:r>
          </w:p>
          <w:p>
            <w:pPr>
              <w:autoSpaceDE w:val="0"/>
              <w:autoSpaceDN w:val="0"/>
              <w:adjustRightInd w:val="0"/>
              <w:snapToGrid w:val="0"/>
              <w:spacing w:line="500" w:lineRule="exact"/>
              <w:ind w:firstLine="482" w:firstLineChars="200"/>
              <w:rPr>
                <w:rFonts w:ascii="Times New Roman" w:hAnsi="Times New Roman" w:eastAsia="仿宋_GB2312"/>
                <w:b w:val="0"/>
                <w:color w:val="000000"/>
                <w:sz w:val="24"/>
                <w:szCs w:val="24"/>
              </w:rPr>
            </w:pPr>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3 \* alphabetic </w:instrText>
            </w:r>
            <w:r>
              <w:rPr>
                <w:rFonts w:ascii="Times New Roman" w:hAnsi="Times New Roman" w:eastAsia="仿宋_GB2312"/>
                <w:b/>
                <w:color w:val="000000"/>
                <w:sz w:val="24"/>
                <w:szCs w:val="24"/>
              </w:rPr>
              <w:fldChar w:fldCharType="separate"/>
            </w:r>
            <w:r>
              <w:rPr>
                <w:rFonts w:ascii="Times New Roman" w:hAnsi="Times New Roman" w:eastAsia="仿宋_GB2312"/>
                <w:b w:val="0"/>
                <w:color w:val="000000"/>
                <w:sz w:val="24"/>
                <w:szCs w:val="24"/>
              </w:rPr>
              <w:t>c</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仪器及器皿润洗废水</w:t>
            </w:r>
          </w:p>
          <w:p>
            <w:pPr>
              <w:autoSpaceDE w:val="0"/>
              <w:autoSpaceDN w:val="0"/>
              <w:adjustRightInd w:val="0"/>
              <w:snapToGrid w:val="0"/>
              <w:spacing w:line="500" w:lineRule="exact"/>
              <w:ind w:firstLine="480" w:firstLineChars="200"/>
              <w:rPr>
                <w:rFonts w:ascii="Times New Roman" w:hAnsi="Times New Roman" w:eastAsia="仿宋_GB2312"/>
                <w:b/>
                <w:color w:val="000000"/>
                <w:sz w:val="24"/>
                <w:szCs w:val="24"/>
              </w:rPr>
            </w:pPr>
            <w:r>
              <w:rPr>
                <w:rFonts w:hint="eastAsia" w:ascii="Times New Roman" w:hAnsi="Times New Roman" w:eastAsia="仿宋_GB2312"/>
                <w:b w:val="0"/>
                <w:color w:val="000000"/>
                <w:sz w:val="24"/>
                <w:szCs w:val="24"/>
              </w:rPr>
              <w:t>项目所用仪器在使用前需用纯水进行润洗，润洗过程中将产生1.1t/a的仪器及器皿润洗废水。</w:t>
            </w:r>
            <w:r>
              <w:rPr>
                <w:rFonts w:ascii="Times New Roman" w:hAnsi="Times New Roman" w:eastAsia="仿宋_GB2312"/>
                <w:b w:val="0"/>
                <w:color w:val="000000"/>
                <w:sz w:val="24"/>
                <w:szCs w:val="24"/>
              </w:rPr>
              <w:t>主要污染物为COD 30mg/L、SS 10mg/L。</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d</w:t>
            </w:r>
            <w:r>
              <w:rPr>
                <w:rFonts w:ascii="Times New Roman" w:hAnsi="Times New Roman" w:eastAsia="仿宋_GB2312"/>
                <w:b w:val="0"/>
                <w:color w:val="000000"/>
                <w:sz w:val="24"/>
                <w:szCs w:val="24"/>
              </w:rPr>
              <w:t>、实验仪器及器皿清洗废水</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实验结束后需要将对实验仪器和玻璃器皿进行稀释清洗。</w:t>
            </w:r>
            <w:r>
              <w:rPr>
                <w:rFonts w:hint="eastAsia" w:ascii="Times New Roman" w:hAnsi="Times New Roman" w:eastAsia="仿宋_GB2312"/>
                <w:b w:val="0"/>
                <w:color w:val="000000"/>
                <w:sz w:val="24"/>
                <w:szCs w:val="24"/>
              </w:rPr>
              <w:t>项目清洗废水量按总用水量的80%计，则清洗废水量为12t/a。其中前两道高浓度清洗废水量约占清洗废水量的50%，高浓度清洗废水量约为6t/a，该部分废水作为危险废物委托有资质单位处置。剩余一般清洗废水量为6t/a</w:t>
            </w:r>
            <w:r>
              <w:rPr>
                <w:rFonts w:ascii="Times New Roman" w:hAnsi="Times New Roman" w:eastAsia="仿宋_GB2312"/>
                <w:b w:val="0"/>
                <w:color w:val="000000"/>
                <w:sz w:val="24"/>
                <w:szCs w:val="24"/>
              </w:rPr>
              <w:t>，主要污染物为COD 60mg/L、SS 30mg/L、NH</w:t>
            </w:r>
            <w:r>
              <w:rPr>
                <w:rFonts w:ascii="Times New Roman" w:hAnsi="Times New Roman" w:eastAsia="仿宋_GB2312"/>
                <w:b w:val="0"/>
                <w:color w:val="000000"/>
                <w:sz w:val="24"/>
                <w:szCs w:val="24"/>
                <w:vertAlign w:val="subscript"/>
              </w:rPr>
              <w:t>3</w:t>
            </w:r>
            <w:r>
              <w:rPr>
                <w:rFonts w:ascii="Times New Roman" w:hAnsi="Times New Roman" w:eastAsia="仿宋_GB2312"/>
                <w:b w:val="0"/>
                <w:color w:val="000000"/>
                <w:sz w:val="24"/>
                <w:szCs w:val="24"/>
              </w:rPr>
              <w:t>-N 9mg/L、总磷1mg/L、氟化物0.4mg/L</w:t>
            </w:r>
            <w:r>
              <w:rPr>
                <w:rFonts w:hint="eastAsia" w:ascii="Times New Roman" w:hAnsi="Times New Roman" w:eastAsia="仿宋_GB2312"/>
                <w:b w:val="0"/>
                <w:color w:val="000000"/>
                <w:sz w:val="24"/>
                <w:szCs w:val="24"/>
              </w:rPr>
              <w:t>、L</w:t>
            </w:r>
            <w:r>
              <w:rPr>
                <w:rFonts w:ascii="Times New Roman" w:hAnsi="Times New Roman" w:eastAsia="仿宋_GB2312"/>
                <w:b w:val="0"/>
                <w:color w:val="000000"/>
                <w:sz w:val="24"/>
                <w:szCs w:val="24"/>
              </w:rPr>
              <w:t>AS 10mg/L。</w:t>
            </w:r>
            <w:r>
              <w:rPr>
                <w:rFonts w:hint="eastAsia" w:ascii="Times New Roman" w:hAnsi="Times New Roman" w:eastAsia="仿宋_GB2312"/>
                <w:b w:val="0"/>
                <w:color w:val="000000"/>
                <w:sz w:val="24"/>
                <w:szCs w:val="24"/>
              </w:rPr>
              <w:t>重金属及有机试剂标样用量极少，在前两次冲洗过程中可视为全部冲洗完毕，污染物全部归入废液。</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e</w:t>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循环冷却系统废水</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rPr>
              <w:t>循环冷却水箱容积1L，一个月更换一次水箱中的水，由于用水量较小，此处不考虑损耗，废水量为0.012t/a。</w:t>
            </w:r>
            <w:r>
              <w:rPr>
                <w:rFonts w:ascii="Times New Roman" w:hAnsi="Times New Roman" w:eastAsia="仿宋_GB2312"/>
                <w:b w:val="0"/>
                <w:color w:val="000000"/>
                <w:sz w:val="24"/>
                <w:szCs w:val="24"/>
              </w:rPr>
              <w:t>主要污染物为COD 20mg/L、SS 10mg/L、NH</w:t>
            </w:r>
            <w:r>
              <w:rPr>
                <w:rFonts w:ascii="Times New Roman" w:hAnsi="Times New Roman" w:eastAsia="仿宋_GB2312"/>
                <w:b w:val="0"/>
                <w:color w:val="000000"/>
                <w:sz w:val="24"/>
                <w:szCs w:val="24"/>
                <w:vertAlign w:val="subscript"/>
              </w:rPr>
              <w:t>3</w:t>
            </w:r>
            <w:r>
              <w:rPr>
                <w:rFonts w:ascii="Times New Roman" w:hAnsi="Times New Roman" w:eastAsia="仿宋_GB2312"/>
                <w:b w:val="0"/>
                <w:color w:val="000000"/>
                <w:sz w:val="24"/>
                <w:szCs w:val="24"/>
              </w:rPr>
              <w:t>-N 5mg/L、总磷0.5mg/L。</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f</w:t>
            </w:r>
            <w:r>
              <w:rPr>
                <w:rFonts w:ascii="Times New Roman" w:hAnsi="Times New Roman" w:eastAsia="仿宋_GB2312"/>
                <w:b w:val="0"/>
                <w:color w:val="000000"/>
                <w:sz w:val="24"/>
                <w:szCs w:val="24"/>
              </w:rPr>
              <w:t>、实验室台面及地面</w:t>
            </w:r>
            <w:r>
              <w:rPr>
                <w:rFonts w:hint="eastAsia" w:ascii="Times New Roman" w:hAnsi="Times New Roman" w:eastAsia="仿宋_GB2312"/>
                <w:b w:val="0"/>
                <w:color w:val="000000"/>
                <w:sz w:val="24"/>
                <w:szCs w:val="24"/>
              </w:rPr>
              <w:t>擦洗</w:t>
            </w:r>
            <w:r>
              <w:rPr>
                <w:rFonts w:ascii="Times New Roman" w:hAnsi="Times New Roman" w:eastAsia="仿宋_GB2312"/>
                <w:b w:val="0"/>
                <w:color w:val="000000"/>
                <w:sz w:val="24"/>
                <w:szCs w:val="24"/>
              </w:rPr>
              <w:t>废水</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实验室定期对各个实验室的地面进行清洁，项目用到的清洁用水约5t/a，废水量按总用水量的80%计，则实验室台面及地面清洁废水约4t/a，主要污染物为COD 80mg/L、SS 30mg/L、NH</w:t>
            </w:r>
            <w:r>
              <w:rPr>
                <w:rFonts w:ascii="Times New Roman" w:hAnsi="Times New Roman" w:eastAsia="仿宋_GB2312"/>
                <w:b w:val="0"/>
                <w:color w:val="000000"/>
                <w:sz w:val="24"/>
                <w:szCs w:val="24"/>
                <w:vertAlign w:val="subscript"/>
              </w:rPr>
              <w:t>3</w:t>
            </w:r>
            <w:r>
              <w:rPr>
                <w:rFonts w:ascii="Times New Roman" w:hAnsi="Times New Roman" w:eastAsia="仿宋_GB2312"/>
                <w:b w:val="0"/>
                <w:color w:val="000000"/>
                <w:sz w:val="24"/>
                <w:szCs w:val="24"/>
              </w:rPr>
              <w:t>-N 10mg/L、总磷</w:t>
            </w:r>
            <w:r>
              <w:rPr>
                <w:rFonts w:hint="eastAsia" w:ascii="Times New Roman" w:hAnsi="Times New Roman" w:eastAsia="仿宋_GB2312"/>
                <w:b w:val="0"/>
                <w:color w:val="000000"/>
                <w:sz w:val="24"/>
                <w:szCs w:val="24"/>
              </w:rPr>
              <w:t>1</w:t>
            </w:r>
            <w:r>
              <w:rPr>
                <w:rFonts w:ascii="Times New Roman" w:hAnsi="Times New Roman" w:eastAsia="仿宋_GB2312"/>
                <w:b w:val="0"/>
                <w:color w:val="000000"/>
                <w:sz w:val="24"/>
                <w:szCs w:val="24"/>
              </w:rPr>
              <w:t>mg/L、氟化物0.5mg/L。</w:t>
            </w:r>
          </w:p>
          <w:p>
            <w:pPr>
              <w:pStyle w:val="83"/>
              <w:snapToGrid w:val="0"/>
              <w:spacing w:line="500" w:lineRule="exact"/>
              <w:ind w:firstLine="480" w:firstLineChars="200"/>
              <w:rPr>
                <w:rFonts w:ascii="Times New Roman" w:hAnsi="Times New Roman" w:eastAsia="仿宋_GB2312"/>
                <w:b w:val="0"/>
              </w:rPr>
            </w:pPr>
            <w:r>
              <w:rPr>
                <w:rFonts w:ascii="Times New Roman" w:hAnsi="Times New Roman" w:eastAsia="仿宋_GB2312"/>
                <w:b w:val="0"/>
              </w:rPr>
              <w:t>实验</w:t>
            </w:r>
            <w:r>
              <w:rPr>
                <w:rFonts w:hint="eastAsia" w:ascii="Times New Roman" w:hAnsi="Times New Roman" w:eastAsia="仿宋_GB2312"/>
                <w:b w:val="0"/>
              </w:rPr>
              <w:t>过程产生废水</w:t>
            </w:r>
            <w:r>
              <w:rPr>
                <w:rFonts w:ascii="Times New Roman" w:hAnsi="Times New Roman" w:eastAsia="仿宋_GB2312"/>
                <w:b w:val="0"/>
              </w:rPr>
              <w:t>与生活污水通过化粪池处理达接管标准后，纳入市政管网，排入江心洲污水处理厂集中处理，达标尾水排入长江。</w:t>
            </w:r>
          </w:p>
          <w:p>
            <w:pPr>
              <w:autoSpaceDE w:val="0"/>
              <w:autoSpaceDN w:val="0"/>
              <w:adjustRightInd w:val="0"/>
              <w:snapToGrid w:val="0"/>
              <w:spacing w:line="500" w:lineRule="exact"/>
              <w:ind w:firstLine="480" w:firstLineChars="200"/>
              <w:rPr>
                <w:rFonts w:ascii="Times New Roman" w:hAnsi="Times New Roman" w:eastAsia="仿宋_GB2312"/>
                <w:b/>
                <w:color w:val="000000"/>
                <w:sz w:val="24"/>
                <w:szCs w:val="24"/>
              </w:rPr>
            </w:pPr>
            <w:r>
              <w:rPr>
                <w:rFonts w:ascii="Times New Roman" w:hAnsi="Times New Roman" w:eastAsia="仿宋_GB2312"/>
                <w:b w:val="0"/>
                <w:sz w:val="24"/>
                <w:szCs w:val="24"/>
              </w:rPr>
              <w:t>项目水平衡图见图5-6，废水产生及排放情况见表5-6。</w:t>
            </w:r>
          </w:p>
        </w:tc>
      </w:tr>
      <w:bookmarkEnd w:id="10"/>
    </w:tbl>
    <w:p>
      <w:pPr>
        <w:adjustRightInd w:val="0"/>
        <w:snapToGrid w:val="0"/>
        <w:spacing w:line="480" w:lineRule="exact"/>
        <w:jc w:val="center"/>
        <w:rPr>
          <w:rFonts w:ascii="Times New Roman" w:hAnsi="Times New Roman"/>
          <w:b/>
          <w:color w:val="000000"/>
          <w:sz w:val="24"/>
          <w:szCs w:val="24"/>
        </w:rPr>
        <w:sectPr>
          <w:pgSz w:w="11907" w:h="16840"/>
          <w:pgMar w:top="1440" w:right="1797" w:bottom="1440" w:left="1797" w:header="851" w:footer="992" w:gutter="0"/>
          <w:cols w:space="720" w:num="1"/>
          <w:titlePg/>
          <w:docGrid w:linePitch="312" w:charSpace="0"/>
        </w:sectPr>
      </w:pPr>
    </w:p>
    <w:tbl>
      <w:tblPr>
        <w:tblStyle w:val="38"/>
        <w:tblW w:w="1417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8" w:hRule="atLeast"/>
        </w:trPr>
        <w:tc>
          <w:tcPr>
            <w:tcW w:w="14176" w:type="dxa"/>
          </w:tcPr>
          <w:p>
            <w:pPr>
              <w:adjustRightInd w:val="0"/>
              <w:snapToGrid w:val="0"/>
              <w:jc w:val="center"/>
              <w:rPr>
                <w:rFonts w:ascii="Times New Roman" w:hAnsi="Times New Roman"/>
                <w:b/>
                <w:color w:val="000000"/>
                <w:sz w:val="24"/>
                <w:szCs w:val="24"/>
              </w:rPr>
            </w:pPr>
            <w:r>
              <w:object>
                <v:shape id="_x0000_i1027" o:spt="75" type="#_x0000_t75" style="height:381.3pt;width:684.3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adjustRightInd w:val="0"/>
              <w:snapToGrid w:val="0"/>
              <w:spacing w:line="480" w:lineRule="exact"/>
              <w:jc w:val="center"/>
              <w:rPr>
                <w:rFonts w:ascii="Times New Roman" w:hAnsi="Times New Roman"/>
                <w:color w:val="000000"/>
                <w:sz w:val="24"/>
                <w:szCs w:val="24"/>
              </w:rPr>
            </w:pPr>
            <w:r>
              <w:rPr>
                <w:rFonts w:hint="eastAsia" w:ascii="Times New Roman" w:hAnsi="Times New Roman"/>
                <w:b/>
                <w:color w:val="000000"/>
                <w:sz w:val="24"/>
                <w:szCs w:val="24"/>
              </w:rPr>
              <w:t>图</w:t>
            </w:r>
            <w:r>
              <w:rPr>
                <w:rFonts w:ascii="Times New Roman" w:hAnsi="Times New Roman"/>
                <w:b/>
                <w:color w:val="000000"/>
                <w:sz w:val="24"/>
                <w:szCs w:val="24"/>
              </w:rPr>
              <w:t>5-6 项目</w:t>
            </w:r>
            <w:r>
              <w:rPr>
                <w:rFonts w:hint="eastAsia" w:ascii="Times New Roman" w:hAnsi="Times New Roman"/>
                <w:b/>
                <w:color w:val="000000"/>
                <w:sz w:val="24"/>
                <w:szCs w:val="24"/>
              </w:rPr>
              <w:t>水平衡图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0" w:hRule="atLeast"/>
        </w:trPr>
        <w:tc>
          <w:tcPr>
            <w:tcW w:w="14176" w:type="dxa"/>
          </w:tcPr>
          <w:p>
            <w:pPr>
              <w:adjustRightInd w:val="0"/>
              <w:snapToGrid w:val="0"/>
              <w:spacing w:line="480" w:lineRule="exact"/>
              <w:jc w:val="center"/>
              <w:rPr>
                <w:rFonts w:ascii="Times New Roman" w:hAnsi="Times New Roman"/>
                <w:color w:val="000000"/>
                <w:sz w:val="24"/>
                <w:szCs w:val="24"/>
              </w:rPr>
            </w:pPr>
            <w:r>
              <w:rPr>
                <w:rFonts w:ascii="Times New Roman" w:hAnsi="Times New Roman"/>
                <w:b/>
                <w:color w:val="000000"/>
                <w:sz w:val="24"/>
                <w:szCs w:val="24"/>
              </w:rPr>
              <w:t>表5-6 项目废水产生及排放情况一览表</w:t>
            </w:r>
          </w:p>
          <w:tbl>
            <w:tblPr>
              <w:tblStyle w:val="38"/>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84"/>
              <w:gridCol w:w="992"/>
              <w:gridCol w:w="902"/>
              <w:gridCol w:w="1574"/>
              <w:gridCol w:w="1574"/>
              <w:gridCol w:w="1578"/>
              <w:gridCol w:w="1402"/>
              <w:gridCol w:w="1418"/>
              <w:gridCol w:w="1259"/>
              <w:gridCol w:w="107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jc w:val="center"/>
                    <w:rPr>
                      <w:rFonts w:ascii="Times New Roman" w:hAnsi="Times New Roman" w:eastAsia="仿宋_GB2312"/>
                      <w:b/>
                      <w:bCs/>
                      <w:snapToGrid w:val="0"/>
                      <w:color w:val="000000"/>
                      <w:kern w:val="0"/>
                      <w:szCs w:val="21"/>
                    </w:rPr>
                  </w:pPr>
                  <w:bookmarkStart w:id="12" w:name="_Hlk38271998"/>
                  <w:r>
                    <w:rPr>
                      <w:rFonts w:hint="eastAsia" w:ascii="Times New Roman" w:hAnsi="Times New Roman" w:eastAsia="仿宋_GB2312"/>
                      <w:b/>
                      <w:bCs/>
                      <w:snapToGrid w:val="0"/>
                      <w:color w:val="000000"/>
                      <w:kern w:val="0"/>
                      <w:szCs w:val="21"/>
                    </w:rPr>
                    <w:t>废水来源</w:t>
                  </w:r>
                </w:p>
              </w:tc>
              <w:tc>
                <w:tcPr>
                  <w:tcW w:w="992" w:type="dxa"/>
                  <w:vMerge w:val="restart"/>
                  <w:vAlign w:val="center"/>
                </w:tcPr>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废水</w:t>
                  </w:r>
                  <w:r>
                    <w:rPr>
                      <w:rFonts w:hint="eastAsia" w:ascii="Times New Roman" w:hAnsi="Times New Roman" w:eastAsia="仿宋_GB2312"/>
                      <w:b/>
                      <w:bCs/>
                      <w:snapToGrid w:val="0"/>
                      <w:color w:val="000000"/>
                      <w:kern w:val="0"/>
                      <w:szCs w:val="21"/>
                    </w:rPr>
                    <w:t>产生</w:t>
                  </w:r>
                  <w:r>
                    <w:rPr>
                      <w:rFonts w:ascii="Times New Roman" w:hAnsi="Times New Roman" w:eastAsia="仿宋_GB2312"/>
                      <w:b/>
                      <w:bCs/>
                      <w:snapToGrid w:val="0"/>
                      <w:color w:val="000000"/>
                      <w:kern w:val="0"/>
                      <w:szCs w:val="21"/>
                    </w:rPr>
                    <w:t>量</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（t/a）</w:t>
                  </w:r>
                </w:p>
              </w:tc>
              <w:tc>
                <w:tcPr>
                  <w:tcW w:w="902" w:type="dxa"/>
                  <w:vMerge w:val="restart"/>
                  <w:vAlign w:val="center"/>
                </w:tcPr>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污染物</w:t>
                  </w:r>
                  <w:r>
                    <w:rPr>
                      <w:rFonts w:hint="eastAsia" w:ascii="Times New Roman" w:hAnsi="Times New Roman" w:eastAsia="仿宋_GB2312"/>
                      <w:b/>
                      <w:bCs/>
                      <w:snapToGrid w:val="0"/>
                      <w:color w:val="000000"/>
                      <w:kern w:val="0"/>
                      <w:szCs w:val="21"/>
                    </w:rPr>
                    <w:t>名称</w:t>
                  </w:r>
                </w:p>
              </w:tc>
              <w:tc>
                <w:tcPr>
                  <w:tcW w:w="3148" w:type="dxa"/>
                  <w:gridSpan w:val="2"/>
                  <w:vAlign w:val="center"/>
                </w:tcPr>
                <w:p>
                  <w:pPr>
                    <w:jc w:val="center"/>
                    <w:rPr>
                      <w:rFonts w:ascii="Times New Roman" w:hAnsi="Times New Roman" w:eastAsia="仿宋_GB2312"/>
                      <w:b/>
                      <w:bCs/>
                      <w:snapToGrid w:val="0"/>
                      <w:color w:val="000000"/>
                      <w:kern w:val="0"/>
                      <w:szCs w:val="21"/>
                    </w:rPr>
                  </w:pPr>
                  <w:r>
                    <w:rPr>
                      <w:rFonts w:hint="eastAsia" w:ascii="Times New Roman" w:hAnsi="Times New Roman" w:eastAsia="仿宋_GB2312"/>
                      <w:b/>
                      <w:bCs/>
                      <w:snapToGrid w:val="0"/>
                      <w:color w:val="000000"/>
                      <w:kern w:val="0"/>
                      <w:szCs w:val="21"/>
                    </w:rPr>
                    <w:t>污染物产生量</w:t>
                  </w:r>
                </w:p>
              </w:tc>
              <w:tc>
                <w:tcPr>
                  <w:tcW w:w="1578" w:type="dxa"/>
                  <w:vMerge w:val="restart"/>
                  <w:vAlign w:val="center"/>
                </w:tcPr>
                <w:p>
                  <w:pPr>
                    <w:jc w:val="center"/>
                    <w:rPr>
                      <w:rFonts w:ascii="Times New Roman" w:hAnsi="Times New Roman" w:eastAsia="仿宋_GB2312"/>
                      <w:b/>
                      <w:bCs/>
                      <w:snapToGrid w:val="0"/>
                      <w:color w:val="000000"/>
                      <w:kern w:val="0"/>
                      <w:szCs w:val="21"/>
                    </w:rPr>
                  </w:pPr>
                  <w:r>
                    <w:rPr>
                      <w:rFonts w:hint="eastAsia" w:ascii="Times New Roman" w:hAnsi="Times New Roman" w:eastAsia="仿宋_GB2312"/>
                      <w:b/>
                      <w:bCs/>
                      <w:snapToGrid w:val="0"/>
                      <w:color w:val="000000"/>
                      <w:kern w:val="0"/>
                      <w:szCs w:val="21"/>
                    </w:rPr>
                    <w:t>治理</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措施</w:t>
                  </w:r>
                </w:p>
              </w:tc>
              <w:tc>
                <w:tcPr>
                  <w:tcW w:w="2820" w:type="dxa"/>
                  <w:gridSpan w:val="2"/>
                  <w:vAlign w:val="center"/>
                </w:tcPr>
                <w:p>
                  <w:pPr>
                    <w:jc w:val="center"/>
                    <w:rPr>
                      <w:rFonts w:ascii="Times New Roman" w:hAnsi="Times New Roman" w:eastAsia="仿宋_GB2312"/>
                      <w:b/>
                      <w:bCs/>
                      <w:snapToGrid w:val="0"/>
                      <w:color w:val="000000"/>
                      <w:kern w:val="0"/>
                      <w:szCs w:val="21"/>
                    </w:rPr>
                  </w:pPr>
                  <w:r>
                    <w:rPr>
                      <w:rFonts w:hint="eastAsia" w:ascii="Times New Roman" w:hAnsi="Times New Roman" w:eastAsia="仿宋_GB2312"/>
                      <w:b/>
                      <w:bCs/>
                      <w:snapToGrid w:val="0"/>
                      <w:color w:val="000000"/>
                      <w:kern w:val="0"/>
                      <w:szCs w:val="21"/>
                    </w:rPr>
                    <w:t>污染物排放量</w:t>
                  </w:r>
                </w:p>
              </w:tc>
              <w:tc>
                <w:tcPr>
                  <w:tcW w:w="1259" w:type="dxa"/>
                  <w:vMerge w:val="restart"/>
                  <w:vAlign w:val="center"/>
                </w:tcPr>
                <w:p>
                  <w:pPr>
                    <w:jc w:val="center"/>
                    <w:rPr>
                      <w:rFonts w:ascii="Times New Roman" w:hAnsi="Times New Roman" w:eastAsia="仿宋_GB2312"/>
                      <w:b/>
                      <w:bCs/>
                      <w:snapToGrid w:val="0"/>
                      <w:color w:val="000000"/>
                      <w:kern w:val="0"/>
                      <w:szCs w:val="21"/>
                    </w:rPr>
                  </w:pPr>
                  <w:r>
                    <w:rPr>
                      <w:rFonts w:hint="eastAsia" w:ascii="Times New Roman" w:hAnsi="Times New Roman" w:eastAsia="仿宋_GB2312"/>
                      <w:b/>
                      <w:bCs/>
                      <w:snapToGrid w:val="0"/>
                      <w:color w:val="000000"/>
                      <w:kern w:val="0"/>
                      <w:szCs w:val="21"/>
                    </w:rPr>
                    <w:t>污染物排放</w:t>
                  </w:r>
                  <w:r>
                    <w:rPr>
                      <w:rFonts w:ascii="Times New Roman" w:hAnsi="Times New Roman" w:eastAsia="仿宋_GB2312"/>
                      <w:b/>
                      <w:bCs/>
                      <w:snapToGrid w:val="0"/>
                      <w:color w:val="000000"/>
                      <w:kern w:val="0"/>
                      <w:szCs w:val="21"/>
                    </w:rPr>
                    <w:t>标准</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（mg/L）</w:t>
                  </w:r>
                </w:p>
              </w:tc>
              <w:tc>
                <w:tcPr>
                  <w:tcW w:w="1077" w:type="dxa"/>
                  <w:vMerge w:val="restart"/>
                  <w:vAlign w:val="center"/>
                </w:tcPr>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排放</w:t>
                  </w:r>
                  <w:r>
                    <w:rPr>
                      <w:rFonts w:hint="eastAsia" w:ascii="Times New Roman" w:hAnsi="Times New Roman" w:eastAsia="仿宋_GB2312"/>
                      <w:b/>
                      <w:bCs/>
                      <w:snapToGrid w:val="0"/>
                      <w:color w:val="000000"/>
                      <w:kern w:val="0"/>
                      <w:szCs w:val="21"/>
                    </w:rPr>
                    <w:t>方式与</w:t>
                  </w:r>
                  <w:r>
                    <w:rPr>
                      <w:rFonts w:ascii="Times New Roman" w:hAnsi="Times New Roman" w:eastAsia="仿宋_GB2312"/>
                      <w:b/>
                      <w:bCs/>
                      <w:snapToGrid w:val="0"/>
                      <w:color w:val="000000"/>
                      <w:kern w:val="0"/>
                      <w:szCs w:val="21"/>
                    </w:rPr>
                    <w:t>去向</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2184" w:type="dxa"/>
                  <w:vMerge w:val="continue"/>
                  <w:vAlign w:val="center"/>
                </w:tcPr>
                <w:p>
                  <w:pPr>
                    <w:jc w:val="center"/>
                    <w:rPr>
                      <w:rFonts w:ascii="Times New Roman" w:hAnsi="Times New Roman" w:eastAsia="仿宋_GB2312"/>
                      <w:b/>
                      <w:bCs/>
                      <w:snapToGrid w:val="0"/>
                      <w:color w:val="000000"/>
                      <w:kern w:val="0"/>
                      <w:szCs w:val="21"/>
                    </w:rPr>
                  </w:pPr>
                </w:p>
              </w:tc>
              <w:tc>
                <w:tcPr>
                  <w:tcW w:w="992" w:type="dxa"/>
                  <w:vMerge w:val="continue"/>
                  <w:vAlign w:val="center"/>
                </w:tcPr>
                <w:p>
                  <w:pPr>
                    <w:jc w:val="center"/>
                    <w:rPr>
                      <w:rFonts w:ascii="Times New Roman" w:hAnsi="Times New Roman" w:eastAsia="仿宋_GB2312"/>
                      <w:b/>
                      <w:bCs/>
                      <w:snapToGrid w:val="0"/>
                      <w:color w:val="000000"/>
                      <w:kern w:val="0"/>
                      <w:szCs w:val="21"/>
                    </w:rPr>
                  </w:pPr>
                </w:p>
              </w:tc>
              <w:tc>
                <w:tcPr>
                  <w:tcW w:w="902" w:type="dxa"/>
                  <w:vMerge w:val="continue"/>
                  <w:vAlign w:val="center"/>
                </w:tcPr>
                <w:p>
                  <w:pPr>
                    <w:jc w:val="center"/>
                    <w:rPr>
                      <w:rFonts w:ascii="Times New Roman" w:hAnsi="Times New Roman" w:eastAsia="仿宋_GB2312"/>
                      <w:b/>
                      <w:bCs/>
                      <w:snapToGrid w:val="0"/>
                      <w:color w:val="000000"/>
                      <w:kern w:val="0"/>
                      <w:szCs w:val="21"/>
                    </w:rPr>
                  </w:pPr>
                </w:p>
              </w:tc>
              <w:tc>
                <w:tcPr>
                  <w:tcW w:w="1574" w:type="dxa"/>
                  <w:vAlign w:val="center"/>
                </w:tcPr>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浓度</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（mg/L）</w:t>
                  </w:r>
                </w:p>
              </w:tc>
              <w:tc>
                <w:tcPr>
                  <w:tcW w:w="1574" w:type="dxa"/>
                  <w:vAlign w:val="center"/>
                </w:tcPr>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产生量</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w:t>
                  </w:r>
                  <w:r>
                    <w:rPr>
                      <w:rFonts w:hint="eastAsia" w:ascii="Times New Roman" w:hAnsi="Times New Roman" w:eastAsia="仿宋_GB2312"/>
                      <w:b/>
                      <w:bCs/>
                      <w:snapToGrid w:val="0"/>
                      <w:color w:val="000000"/>
                      <w:kern w:val="0"/>
                      <w:szCs w:val="21"/>
                    </w:rPr>
                    <w:t>kg</w:t>
                  </w:r>
                  <w:r>
                    <w:rPr>
                      <w:rFonts w:ascii="Times New Roman" w:hAnsi="Times New Roman" w:eastAsia="仿宋_GB2312"/>
                      <w:b/>
                      <w:bCs/>
                      <w:snapToGrid w:val="0"/>
                      <w:color w:val="000000"/>
                      <w:kern w:val="0"/>
                      <w:szCs w:val="21"/>
                    </w:rPr>
                    <w:t>/a）</w:t>
                  </w:r>
                </w:p>
              </w:tc>
              <w:tc>
                <w:tcPr>
                  <w:tcW w:w="1578" w:type="dxa"/>
                  <w:vMerge w:val="continue"/>
                  <w:vAlign w:val="center"/>
                </w:tcPr>
                <w:p>
                  <w:pPr>
                    <w:jc w:val="center"/>
                    <w:rPr>
                      <w:rFonts w:ascii="Times New Roman" w:hAnsi="Times New Roman" w:eastAsia="仿宋_GB2312"/>
                      <w:b/>
                      <w:bCs/>
                      <w:snapToGrid w:val="0"/>
                      <w:color w:val="000000"/>
                      <w:kern w:val="0"/>
                      <w:szCs w:val="21"/>
                    </w:rPr>
                  </w:pPr>
                </w:p>
              </w:tc>
              <w:tc>
                <w:tcPr>
                  <w:tcW w:w="1402" w:type="dxa"/>
                  <w:vAlign w:val="center"/>
                </w:tcPr>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浓度</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（mg/L）</w:t>
                  </w:r>
                </w:p>
              </w:tc>
              <w:tc>
                <w:tcPr>
                  <w:tcW w:w="1418" w:type="dxa"/>
                  <w:vAlign w:val="center"/>
                </w:tcPr>
                <w:p>
                  <w:pPr>
                    <w:jc w:val="center"/>
                    <w:rPr>
                      <w:rFonts w:ascii="Times New Roman" w:hAnsi="Times New Roman" w:eastAsia="仿宋_GB2312"/>
                      <w:b/>
                      <w:bCs/>
                      <w:snapToGrid w:val="0"/>
                      <w:color w:val="000000"/>
                      <w:kern w:val="0"/>
                      <w:szCs w:val="21"/>
                    </w:rPr>
                  </w:pPr>
                  <w:r>
                    <w:rPr>
                      <w:rFonts w:hint="eastAsia" w:ascii="Times New Roman" w:hAnsi="Times New Roman" w:eastAsia="仿宋_GB2312"/>
                      <w:b/>
                      <w:bCs/>
                      <w:snapToGrid w:val="0"/>
                      <w:color w:val="000000"/>
                      <w:kern w:val="0"/>
                      <w:szCs w:val="21"/>
                    </w:rPr>
                    <w:t>排放</w:t>
                  </w:r>
                  <w:r>
                    <w:rPr>
                      <w:rFonts w:ascii="Times New Roman" w:hAnsi="Times New Roman" w:eastAsia="仿宋_GB2312"/>
                      <w:b/>
                      <w:bCs/>
                      <w:snapToGrid w:val="0"/>
                      <w:color w:val="000000"/>
                      <w:kern w:val="0"/>
                      <w:szCs w:val="21"/>
                    </w:rPr>
                    <w:t>量</w:t>
                  </w:r>
                </w:p>
                <w:p>
                  <w:pPr>
                    <w:jc w:val="center"/>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w:t>
                  </w:r>
                  <w:r>
                    <w:rPr>
                      <w:rFonts w:hint="eastAsia" w:ascii="Times New Roman" w:hAnsi="Times New Roman" w:eastAsia="仿宋_GB2312"/>
                      <w:b/>
                      <w:bCs/>
                      <w:snapToGrid w:val="0"/>
                      <w:color w:val="000000"/>
                      <w:kern w:val="0"/>
                      <w:szCs w:val="21"/>
                    </w:rPr>
                    <w:t>kg</w:t>
                  </w:r>
                  <w:r>
                    <w:rPr>
                      <w:rFonts w:ascii="Times New Roman" w:hAnsi="Times New Roman" w:eastAsia="仿宋_GB2312"/>
                      <w:b/>
                      <w:bCs/>
                      <w:snapToGrid w:val="0"/>
                      <w:color w:val="000000"/>
                      <w:kern w:val="0"/>
                      <w:szCs w:val="21"/>
                    </w:rPr>
                    <w:t>/a）</w:t>
                  </w:r>
                </w:p>
              </w:tc>
              <w:tc>
                <w:tcPr>
                  <w:tcW w:w="1259" w:type="dxa"/>
                  <w:vMerge w:val="continue"/>
                  <w:vAlign w:val="center"/>
                </w:tcPr>
                <w:p>
                  <w:pPr>
                    <w:jc w:val="center"/>
                    <w:rPr>
                      <w:rFonts w:ascii="Times New Roman" w:hAnsi="Times New Roman" w:eastAsia="仿宋_GB2312"/>
                      <w:snapToGrid w:val="0"/>
                      <w:color w:val="000000"/>
                      <w:kern w:val="0"/>
                      <w:szCs w:val="21"/>
                    </w:rPr>
                  </w:pPr>
                </w:p>
              </w:tc>
              <w:tc>
                <w:tcPr>
                  <w:tcW w:w="1077" w:type="dxa"/>
                  <w:vMerge w:val="continue"/>
                  <w:vAlign w:val="center"/>
                </w:tcPr>
                <w:p>
                  <w:pPr>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生活污水</w:t>
                  </w:r>
                </w:p>
              </w:tc>
              <w:tc>
                <w:tcPr>
                  <w:tcW w:w="992" w:type="dxa"/>
                  <w:vMerge w:val="restart"/>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270</w:t>
                  </w:r>
                </w:p>
              </w:tc>
              <w:tc>
                <w:tcPr>
                  <w:tcW w:w="9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w:t>
                  </w:r>
                </w:p>
              </w:tc>
              <w:tc>
                <w:tcPr>
                  <w:tcW w:w="1574"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400</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10</w:t>
                  </w:r>
                  <w:r>
                    <w:rPr>
                      <w:rFonts w:ascii="Times New Roman" w:hAnsi="Times New Roman" w:eastAsia="仿宋_GB2312"/>
                      <w:snapToGrid w:val="0"/>
                      <w:color w:val="000000"/>
                      <w:kern w:val="0"/>
                      <w:szCs w:val="21"/>
                    </w:rPr>
                    <w:t>8</w:t>
                  </w:r>
                </w:p>
              </w:tc>
              <w:tc>
                <w:tcPr>
                  <w:tcW w:w="1578" w:type="dxa"/>
                  <w:vMerge w:val="restart"/>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化粪池</w:t>
                  </w:r>
                </w:p>
              </w:tc>
              <w:tc>
                <w:tcPr>
                  <w:tcW w:w="14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restart"/>
                  <w:vAlign w:val="center"/>
                </w:tcPr>
                <w:p>
                  <w:pPr>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实验室与生活污水经化粪池处理后，</w:t>
                  </w:r>
                  <w:r>
                    <w:rPr>
                      <w:rFonts w:ascii="Times New Roman" w:hAnsi="Times New Roman" w:eastAsia="仿宋_GB2312"/>
                      <w:snapToGrid w:val="0"/>
                      <w:color w:val="000000"/>
                      <w:kern w:val="0"/>
                      <w:szCs w:val="21"/>
                    </w:rPr>
                    <w:t>接管至江心洲污水处理厂</w:t>
                  </w:r>
                  <w:r>
                    <w:rPr>
                      <w:rFonts w:hint="eastAsia" w:ascii="Times New Roman" w:hAnsi="Times New Roman" w:eastAsia="仿宋_GB2312"/>
                      <w:snapToGrid w:val="0"/>
                      <w:color w:val="000000"/>
                      <w:kern w:val="0"/>
                      <w:szCs w:val="21"/>
                    </w:rPr>
                    <w:t>处理，尾水排入长江</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jc w:val="center"/>
                    <w:rPr>
                      <w:rFonts w:ascii="Times New Roman" w:hAnsi="Times New Roman" w:eastAsia="仿宋_GB2312"/>
                      <w:snapToGrid w:val="0"/>
                      <w:color w:val="000000"/>
                      <w:kern w:val="0"/>
                      <w:szCs w:val="21"/>
                    </w:rPr>
                  </w:pPr>
                </w:p>
              </w:tc>
              <w:tc>
                <w:tcPr>
                  <w:tcW w:w="9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SS</w:t>
                  </w:r>
                </w:p>
              </w:tc>
              <w:tc>
                <w:tcPr>
                  <w:tcW w:w="1574"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300</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8</w:t>
                  </w:r>
                  <w:r>
                    <w:rPr>
                      <w:rFonts w:ascii="Times New Roman" w:hAnsi="Times New Roman" w:eastAsia="仿宋_GB2312"/>
                      <w:snapToGrid w:val="0"/>
                      <w:color w:val="000000"/>
                      <w:kern w:val="0"/>
                      <w:szCs w:val="21"/>
                    </w:rPr>
                    <w:t>1</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jc w:val="center"/>
                    <w:rPr>
                      <w:rFonts w:ascii="Times New Roman" w:hAnsi="Times New Roman" w:eastAsia="仿宋_GB2312"/>
                      <w:snapToGrid w:val="0"/>
                      <w:color w:val="000000"/>
                      <w:kern w:val="0"/>
                      <w:szCs w:val="21"/>
                    </w:rPr>
                  </w:pPr>
                </w:p>
              </w:tc>
              <w:tc>
                <w:tcPr>
                  <w:tcW w:w="9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氨氮</w:t>
                  </w:r>
                </w:p>
              </w:tc>
              <w:tc>
                <w:tcPr>
                  <w:tcW w:w="1574"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25</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6</w:t>
                  </w:r>
                  <w:r>
                    <w:rPr>
                      <w:rFonts w:ascii="Times New Roman" w:hAnsi="Times New Roman" w:eastAsia="仿宋_GB2312"/>
                      <w:snapToGrid w:val="0"/>
                      <w:color w:val="000000"/>
                      <w:kern w:val="0"/>
                      <w:szCs w:val="21"/>
                    </w:rPr>
                    <w:t>.75</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jc w:val="center"/>
                    <w:rPr>
                      <w:rFonts w:ascii="Times New Roman" w:hAnsi="Times New Roman" w:eastAsia="仿宋_GB2312"/>
                      <w:snapToGrid w:val="0"/>
                      <w:color w:val="000000"/>
                      <w:kern w:val="0"/>
                      <w:szCs w:val="21"/>
                    </w:rPr>
                  </w:pPr>
                </w:p>
              </w:tc>
              <w:tc>
                <w:tcPr>
                  <w:tcW w:w="9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总磷</w:t>
                  </w:r>
                </w:p>
              </w:tc>
              <w:tc>
                <w:tcPr>
                  <w:tcW w:w="1574"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4</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1</w:t>
                  </w:r>
                  <w:r>
                    <w:rPr>
                      <w:rFonts w:ascii="Times New Roman" w:hAnsi="Times New Roman" w:eastAsia="仿宋_GB2312"/>
                      <w:snapToGrid w:val="0"/>
                      <w:color w:val="000000"/>
                      <w:kern w:val="0"/>
                      <w:szCs w:val="21"/>
                    </w:rPr>
                    <w:t>.08</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widowControl/>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rPr>
                    <w:t>反冲洗废水和反渗透浓水</w:t>
                  </w:r>
                </w:p>
              </w:tc>
              <w:tc>
                <w:tcPr>
                  <w:tcW w:w="992" w:type="dxa"/>
                  <w:vMerge w:val="restart"/>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1.7</w:t>
                  </w: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COD</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60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.102</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SS</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20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.034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氨氮</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8</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.014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总磷</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1</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.002</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widowControl/>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rPr>
                    <w:t>仪器及器皿润洗废水</w:t>
                  </w:r>
                </w:p>
              </w:tc>
              <w:tc>
                <w:tcPr>
                  <w:tcW w:w="992" w:type="dxa"/>
                  <w:vMerge w:val="restart"/>
                  <w:vAlign w:val="center"/>
                </w:tcPr>
                <w:p>
                  <w:pPr>
                    <w:widowControl/>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1</w:t>
                  </w:r>
                  <w:r>
                    <w:rPr>
                      <w:rFonts w:ascii="Times New Roman" w:hAnsi="Times New Roman" w:eastAsia="仿宋_GB2312"/>
                      <w:snapToGrid w:val="0"/>
                      <w:color w:val="000000"/>
                      <w:kern w:val="0"/>
                      <w:szCs w:val="21"/>
                    </w:rPr>
                    <w:t>.1</w:t>
                  </w: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COD</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30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.033</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SS</w:t>
                  </w:r>
                </w:p>
              </w:tc>
              <w:tc>
                <w:tcPr>
                  <w:tcW w:w="1574"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10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.011</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rPr>
                    <w:t>实验仪器及器皿清洗废水</w:t>
                  </w:r>
                </w:p>
              </w:tc>
              <w:tc>
                <w:tcPr>
                  <w:tcW w:w="992" w:type="dxa"/>
                  <w:vMerge w:val="restart"/>
                  <w:vAlign w:val="center"/>
                </w:tcPr>
                <w:p>
                  <w:pPr>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6</w:t>
                  </w: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COD</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6</w:t>
                  </w:r>
                  <w:r>
                    <w:rPr>
                      <w:rFonts w:ascii="Times New Roman" w:hAnsi="Times New Roman" w:eastAsia="仿宋_GB2312"/>
                      <w:color w:val="000000"/>
                      <w:kern w:val="0"/>
                      <w:szCs w:val="21"/>
                    </w:rPr>
                    <w:t>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36</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SS</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3</w:t>
                  </w:r>
                  <w:r>
                    <w:rPr>
                      <w:rFonts w:ascii="Times New Roman" w:hAnsi="Times New Roman" w:eastAsia="仿宋_GB2312"/>
                      <w:color w:val="000000"/>
                      <w:kern w:val="0"/>
                      <w:szCs w:val="21"/>
                    </w:rPr>
                    <w:t>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.18</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氨氮</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9</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.054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总磷</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.006</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氟化物</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.4</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.0024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L</w:t>
                  </w:r>
                  <w:r>
                    <w:rPr>
                      <w:rFonts w:ascii="Times New Roman" w:hAnsi="Times New Roman" w:eastAsia="仿宋_GB2312"/>
                      <w:color w:val="000000"/>
                      <w:kern w:val="0"/>
                      <w:szCs w:val="21"/>
                    </w:rPr>
                    <w:t>AS</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.06</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color w:val="000000"/>
                      <w:kern w:val="0"/>
                      <w:szCs w:val="21"/>
                    </w:rPr>
                  </w:pPr>
                </w:p>
              </w:tc>
              <w:tc>
                <w:tcPr>
                  <w:tcW w:w="1418" w:type="dxa"/>
                  <w:vAlign w:val="center"/>
                </w:tcPr>
                <w:p>
                  <w:pPr>
                    <w:widowControl/>
                    <w:jc w:val="center"/>
                    <w:textAlignment w:val="center"/>
                    <w:rPr>
                      <w:rFonts w:ascii="Times New Roman" w:hAnsi="Times New Roman" w:eastAsia="仿宋_GB2312"/>
                      <w:color w:val="000000"/>
                      <w:kern w:val="0"/>
                      <w:szCs w:val="21"/>
                    </w:rPr>
                  </w:pPr>
                </w:p>
              </w:tc>
              <w:tc>
                <w:tcPr>
                  <w:tcW w:w="1259" w:type="dxa"/>
                  <w:vAlign w:val="center"/>
                </w:tcPr>
                <w:p>
                  <w:pPr>
                    <w:widowControl/>
                    <w:jc w:val="center"/>
                    <w:textAlignment w:val="center"/>
                    <w:rPr>
                      <w:rFonts w:ascii="Times New Roman" w:hAnsi="Times New Roman" w:eastAsia="仿宋_GB2312"/>
                      <w:color w:val="000000"/>
                      <w:kern w:val="0"/>
                      <w:szCs w:val="21"/>
                    </w:rPr>
                  </w:pP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widowControl/>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rPr>
                    <w:t>循环冷却系统废水</w:t>
                  </w:r>
                </w:p>
              </w:tc>
              <w:tc>
                <w:tcPr>
                  <w:tcW w:w="992" w:type="dxa"/>
                  <w:vMerge w:val="restart"/>
                  <w:vAlign w:val="center"/>
                </w:tcPr>
                <w:p>
                  <w:pPr>
                    <w:widowControl/>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0</w:t>
                  </w:r>
                  <w:r>
                    <w:rPr>
                      <w:rFonts w:ascii="Times New Roman" w:hAnsi="Times New Roman" w:eastAsia="仿宋_GB2312"/>
                      <w:snapToGrid w:val="0"/>
                      <w:color w:val="000000"/>
                      <w:kern w:val="0"/>
                      <w:szCs w:val="21"/>
                    </w:rPr>
                    <w:t>.012</w:t>
                  </w: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COD</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2</w:t>
                  </w:r>
                  <w:r>
                    <w:rPr>
                      <w:rFonts w:ascii="Times New Roman" w:hAnsi="Times New Roman" w:eastAsia="仿宋_GB2312"/>
                      <w:color w:val="000000"/>
                      <w:kern w:val="0"/>
                      <w:szCs w:val="21"/>
                    </w:rPr>
                    <w:t>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.00024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SS</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10</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.00012</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氨氮</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5</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.00006</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总磷</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.5</w:t>
                  </w:r>
                </w:p>
              </w:tc>
              <w:tc>
                <w:tcPr>
                  <w:tcW w:w="1574" w:type="dxa"/>
                  <w:vAlign w:val="center"/>
                </w:tcPr>
                <w:p>
                  <w:pPr>
                    <w:widowControl/>
                    <w:jc w:val="center"/>
                    <w:textAlignment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.000006</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实验室台面及地面</w:t>
                  </w:r>
                  <w:r>
                    <w:rPr>
                      <w:rFonts w:hint="eastAsia" w:ascii="Times New Roman" w:hAnsi="Times New Roman" w:eastAsia="仿宋_GB2312"/>
                      <w:color w:val="000000"/>
                      <w:kern w:val="0"/>
                      <w:szCs w:val="21"/>
                    </w:rPr>
                    <w:t>擦洗</w:t>
                  </w:r>
                  <w:r>
                    <w:rPr>
                      <w:rFonts w:ascii="Times New Roman" w:hAnsi="Times New Roman" w:eastAsia="仿宋_GB2312"/>
                      <w:color w:val="000000"/>
                      <w:kern w:val="0"/>
                      <w:szCs w:val="21"/>
                    </w:rPr>
                    <w:t>废水</w:t>
                  </w:r>
                </w:p>
              </w:tc>
              <w:tc>
                <w:tcPr>
                  <w:tcW w:w="992" w:type="dxa"/>
                  <w:vMerge w:val="restart"/>
                  <w:vAlign w:val="center"/>
                </w:tcPr>
                <w:p>
                  <w:pPr>
                    <w:widowControl/>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4</w:t>
                  </w:r>
                </w:p>
              </w:tc>
              <w:tc>
                <w:tcPr>
                  <w:tcW w:w="902"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COD</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80</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0.32</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SS</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30</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.12</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氨氮</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10</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总磷</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.004</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氟化物</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.5</w:t>
                  </w:r>
                </w:p>
              </w:tc>
              <w:tc>
                <w:tcPr>
                  <w:tcW w:w="1574"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.002</w:t>
                  </w:r>
                </w:p>
              </w:tc>
              <w:tc>
                <w:tcPr>
                  <w:tcW w:w="1578" w:type="dxa"/>
                  <w:vMerge w:val="continue"/>
                  <w:vAlign w:val="center"/>
                </w:tcPr>
                <w:p>
                  <w:pPr>
                    <w:jc w:val="center"/>
                    <w:textAlignment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color w:val="000000"/>
                      <w:kern w:val="0"/>
                      <w:szCs w:val="21"/>
                    </w:rPr>
                    <w:t>—</w:t>
                  </w:r>
                </w:p>
              </w:tc>
              <w:tc>
                <w:tcPr>
                  <w:tcW w:w="1418"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259" w:type="dxa"/>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restart"/>
                  <w:vAlign w:val="center"/>
                </w:tcPr>
                <w:p>
                  <w:pPr>
                    <w:widowControl/>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混合废水（生活污水+</w:t>
                  </w:r>
                  <w:r>
                    <w:rPr>
                      <w:rFonts w:hint="eastAsia" w:ascii="Times New Roman" w:hAnsi="Times New Roman" w:eastAsia="仿宋_GB2312"/>
                      <w:bCs/>
                      <w:color w:val="000000"/>
                      <w:kern w:val="0"/>
                      <w:szCs w:val="21"/>
                    </w:rPr>
                    <w:t>反冲洗废水和反渗透浓水</w:t>
                  </w:r>
                  <w:r>
                    <w:rPr>
                      <w:rFonts w:ascii="Times New Roman" w:hAnsi="Times New Roman" w:eastAsia="仿宋_GB2312"/>
                      <w:bCs/>
                      <w:color w:val="000000"/>
                      <w:kern w:val="0"/>
                      <w:szCs w:val="21"/>
                    </w:rPr>
                    <w:t>+</w:t>
                  </w:r>
                  <w:r>
                    <w:rPr>
                      <w:rFonts w:hint="eastAsia" w:ascii="Times New Roman" w:hAnsi="Times New Roman" w:eastAsia="仿宋_GB2312"/>
                      <w:bCs/>
                      <w:color w:val="000000"/>
                      <w:kern w:val="0"/>
                      <w:szCs w:val="21"/>
                    </w:rPr>
                    <w:t>仪器及器皿润洗废水+实验仪器及器皿清洗废水+循环冷却系统废水</w:t>
                  </w:r>
                  <w:r>
                    <w:rPr>
                      <w:rFonts w:ascii="Times New Roman" w:hAnsi="Times New Roman" w:eastAsia="仿宋_GB2312"/>
                      <w:color w:val="000000"/>
                      <w:kern w:val="0"/>
                      <w:szCs w:val="21"/>
                    </w:rPr>
                    <w:t>+实验室台面及地面</w:t>
                  </w:r>
                  <w:r>
                    <w:rPr>
                      <w:rFonts w:hint="eastAsia" w:ascii="Times New Roman" w:hAnsi="Times New Roman" w:eastAsia="仿宋_GB2312"/>
                      <w:color w:val="000000"/>
                      <w:kern w:val="0"/>
                      <w:szCs w:val="21"/>
                    </w:rPr>
                    <w:t>擦洗</w:t>
                  </w:r>
                  <w:r>
                    <w:rPr>
                      <w:rFonts w:ascii="Times New Roman" w:hAnsi="Times New Roman" w:eastAsia="仿宋_GB2312"/>
                      <w:color w:val="000000"/>
                      <w:kern w:val="0"/>
                      <w:szCs w:val="21"/>
                    </w:rPr>
                    <w:t>废水</w:t>
                  </w:r>
                  <w:r>
                    <w:rPr>
                      <w:rFonts w:ascii="Times New Roman" w:hAnsi="Times New Roman" w:eastAsia="仿宋_GB2312"/>
                      <w:bCs/>
                      <w:color w:val="000000"/>
                      <w:kern w:val="0"/>
                      <w:szCs w:val="21"/>
                    </w:rPr>
                    <w:t>）</w:t>
                  </w:r>
                </w:p>
              </w:tc>
              <w:tc>
                <w:tcPr>
                  <w:tcW w:w="992" w:type="dxa"/>
                  <w:vMerge w:val="restart"/>
                  <w:vAlign w:val="center"/>
                </w:tcPr>
                <w:p>
                  <w:pPr>
                    <w:widowControl/>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282.812</w:t>
                  </w:r>
                </w:p>
              </w:tc>
              <w:tc>
                <w:tcPr>
                  <w:tcW w:w="902"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COD</w:t>
                  </w:r>
                </w:p>
              </w:tc>
              <w:tc>
                <w:tcPr>
                  <w:tcW w:w="1574" w:type="dxa"/>
                  <w:vAlign w:val="center"/>
                </w:tcPr>
                <w:p>
                  <w:pPr>
                    <w:widowControl/>
                    <w:jc w:val="center"/>
                    <w:textAlignment w:val="center"/>
                    <w:rPr>
                      <w:rStyle w:val="47"/>
                      <w:rFonts w:ascii="Times New Roman" w:hAnsi="Times New Roman" w:eastAsia="仿宋_GB2312"/>
                      <w:b w:val="0"/>
                      <w:bCs w:val="0"/>
                      <w:color w:val="000000"/>
                    </w:rPr>
                  </w:pPr>
                  <w:r>
                    <w:rPr>
                      <w:rStyle w:val="47"/>
                      <w:rFonts w:hint="eastAsia" w:ascii="Times New Roman" w:hAnsi="Times New Roman" w:eastAsia="仿宋_GB2312"/>
                      <w:b w:val="0"/>
                      <w:bCs w:val="0"/>
                      <w:color w:val="000000"/>
                    </w:rPr>
                    <w:t>3</w:t>
                  </w:r>
                  <w:r>
                    <w:rPr>
                      <w:rStyle w:val="47"/>
                      <w:rFonts w:ascii="Times New Roman" w:hAnsi="Times New Roman" w:eastAsia="仿宋_GB2312"/>
                      <w:b w:val="0"/>
                      <w:bCs w:val="0"/>
                      <w:color w:val="000000"/>
                    </w:rPr>
                    <w:t>84.6</w:t>
                  </w:r>
                </w:p>
              </w:tc>
              <w:tc>
                <w:tcPr>
                  <w:tcW w:w="1574"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108.769</w:t>
                  </w:r>
                </w:p>
              </w:tc>
              <w:tc>
                <w:tcPr>
                  <w:tcW w:w="1578" w:type="dxa"/>
                  <w:vMerge w:val="continue"/>
                  <w:vAlign w:val="center"/>
                </w:tcPr>
                <w:p>
                  <w:pPr>
                    <w:widowControl/>
                    <w:jc w:val="center"/>
                    <w:textAlignment w:val="center"/>
                    <w:rPr>
                      <w:rStyle w:val="47"/>
                      <w:rFonts w:ascii="Times New Roman" w:hAnsi="Times New Roman" w:eastAsia="仿宋_GB2312"/>
                      <w:color w:val="000000"/>
                    </w:rPr>
                  </w:pPr>
                </w:p>
              </w:tc>
              <w:tc>
                <w:tcPr>
                  <w:tcW w:w="1402"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300</w:t>
                  </w:r>
                </w:p>
              </w:tc>
              <w:tc>
                <w:tcPr>
                  <w:tcW w:w="1418"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84</w:t>
                  </w:r>
                  <w:r>
                    <w:rPr>
                      <w:rFonts w:ascii="Times New Roman" w:hAnsi="Times New Roman" w:eastAsia="仿宋_GB2312"/>
                      <w:color w:val="000000"/>
                      <w:kern w:val="0"/>
                      <w:szCs w:val="21"/>
                    </w:rPr>
                    <w:t>.84</w:t>
                  </w:r>
                </w:p>
              </w:tc>
              <w:tc>
                <w:tcPr>
                  <w:tcW w:w="1259" w:type="dxa"/>
                  <w:vAlign w:val="center"/>
                </w:tcPr>
                <w:p>
                  <w:pPr>
                    <w:widowControl/>
                    <w:jc w:val="center"/>
                    <w:textAlignment w:val="center"/>
                    <w:rPr>
                      <w:rFonts w:ascii="Times New Roman" w:hAnsi="Times New Roman" w:eastAsia="仿宋_GB2312"/>
                      <w:color w:val="000000"/>
                      <w:szCs w:val="21"/>
                    </w:rPr>
                  </w:pPr>
                  <w:r>
                    <w:rPr>
                      <w:rFonts w:ascii="Times New Roman" w:hAnsi="Times New Roman" w:eastAsia="仿宋_GB2312"/>
                      <w:color w:val="000000"/>
                      <w:szCs w:val="21"/>
                    </w:rPr>
                    <w:t>50</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SS</w:t>
                  </w:r>
                </w:p>
              </w:tc>
              <w:tc>
                <w:tcPr>
                  <w:tcW w:w="1574" w:type="dxa"/>
                  <w:vAlign w:val="center"/>
                </w:tcPr>
                <w:p>
                  <w:pPr>
                    <w:widowControl/>
                    <w:jc w:val="center"/>
                    <w:textAlignment w:val="center"/>
                    <w:rPr>
                      <w:rStyle w:val="47"/>
                      <w:rFonts w:ascii="Times New Roman" w:hAnsi="Times New Roman" w:eastAsia="仿宋_GB2312"/>
                      <w:b w:val="0"/>
                      <w:bCs w:val="0"/>
                      <w:color w:val="000000"/>
                    </w:rPr>
                  </w:pPr>
                  <w:r>
                    <w:rPr>
                      <w:rStyle w:val="47"/>
                      <w:rFonts w:hint="eastAsia" w:ascii="Times New Roman" w:hAnsi="Times New Roman" w:eastAsia="仿宋_GB2312"/>
                      <w:b w:val="0"/>
                      <w:bCs w:val="0"/>
                      <w:color w:val="000000"/>
                    </w:rPr>
                    <w:t>2</w:t>
                  </w:r>
                  <w:r>
                    <w:rPr>
                      <w:rStyle w:val="47"/>
                      <w:rFonts w:ascii="Times New Roman" w:hAnsi="Times New Roman" w:eastAsia="仿宋_GB2312"/>
                      <w:b w:val="0"/>
                      <w:bCs w:val="0"/>
                      <w:color w:val="000000"/>
                    </w:rPr>
                    <w:t>87.53</w:t>
                  </w:r>
                </w:p>
              </w:tc>
              <w:tc>
                <w:tcPr>
                  <w:tcW w:w="1574" w:type="dxa"/>
                  <w:vAlign w:val="center"/>
                </w:tcPr>
                <w:p>
                  <w:pPr>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81.317</w:t>
                  </w:r>
                </w:p>
              </w:tc>
              <w:tc>
                <w:tcPr>
                  <w:tcW w:w="1578" w:type="dxa"/>
                  <w:vMerge w:val="continue"/>
                  <w:vAlign w:val="center"/>
                </w:tcPr>
                <w:p>
                  <w:pPr>
                    <w:widowControl/>
                    <w:jc w:val="center"/>
                    <w:textAlignment w:val="center"/>
                    <w:rPr>
                      <w:rStyle w:val="47"/>
                      <w:rFonts w:ascii="Times New Roman" w:hAnsi="Times New Roman" w:eastAsia="仿宋_GB2312"/>
                      <w:color w:val="000000"/>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60</w:t>
                  </w:r>
                </w:p>
              </w:tc>
              <w:tc>
                <w:tcPr>
                  <w:tcW w:w="1418"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1</w:t>
                  </w:r>
                  <w:r>
                    <w:rPr>
                      <w:rFonts w:ascii="Times New Roman" w:hAnsi="Times New Roman" w:eastAsia="仿宋_GB2312"/>
                      <w:color w:val="000000"/>
                      <w:kern w:val="0"/>
                      <w:szCs w:val="21"/>
                    </w:rPr>
                    <w:t>6.97</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jc w:val="center"/>
                    <w:textAlignment w:val="center"/>
                    <w:rPr>
                      <w:rFonts w:ascii="Times New Roman" w:hAnsi="Times New Roman" w:eastAsia="仿宋_GB2312"/>
                      <w:bCs/>
                      <w:color w:val="000000"/>
                      <w:kern w:val="0"/>
                      <w:szCs w:val="21"/>
                    </w:rPr>
                  </w:pPr>
                  <w:r>
                    <w:rPr>
                      <w:rFonts w:ascii="Times New Roman" w:hAnsi="Times New Roman" w:eastAsia="仿宋_GB2312"/>
                      <w:color w:val="000000"/>
                      <w:kern w:val="0"/>
                      <w:szCs w:val="21"/>
                    </w:rPr>
                    <w:t>氨氮</w:t>
                  </w:r>
                </w:p>
              </w:tc>
              <w:tc>
                <w:tcPr>
                  <w:tcW w:w="1574" w:type="dxa"/>
                  <w:vAlign w:val="center"/>
                </w:tcPr>
                <w:p>
                  <w:pPr>
                    <w:widowControl/>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rPr>
                    <w:t>2</w:t>
                  </w:r>
                  <w:r>
                    <w:rPr>
                      <w:rFonts w:ascii="Times New Roman" w:hAnsi="Times New Roman" w:eastAsia="仿宋_GB2312"/>
                      <w:bCs/>
                      <w:color w:val="000000"/>
                      <w:kern w:val="0"/>
                      <w:szCs w:val="21"/>
                    </w:rPr>
                    <w:t>4.25</w:t>
                  </w:r>
                </w:p>
              </w:tc>
              <w:tc>
                <w:tcPr>
                  <w:tcW w:w="1574" w:type="dxa"/>
                  <w:vAlign w:val="center"/>
                </w:tcPr>
                <w:p>
                  <w:pPr>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6</w:t>
                  </w:r>
                  <w:r>
                    <w:rPr>
                      <w:rFonts w:ascii="Times New Roman" w:hAnsi="Times New Roman" w:eastAsia="仿宋_GB2312"/>
                      <w:snapToGrid w:val="0"/>
                      <w:color w:val="000000"/>
                      <w:kern w:val="0"/>
                      <w:szCs w:val="21"/>
                    </w:rPr>
                    <w:t>.858</w:t>
                  </w:r>
                </w:p>
              </w:tc>
              <w:tc>
                <w:tcPr>
                  <w:tcW w:w="1578" w:type="dxa"/>
                  <w:vMerge w:val="continue"/>
                  <w:vAlign w:val="center"/>
                </w:tcPr>
                <w:p>
                  <w:pPr>
                    <w:widowControl/>
                    <w:jc w:val="center"/>
                    <w:textAlignment w:val="center"/>
                    <w:rPr>
                      <w:rStyle w:val="47"/>
                      <w:rFonts w:ascii="Times New Roman" w:hAnsi="Times New Roman" w:eastAsia="仿宋_GB2312"/>
                      <w:color w:val="000000"/>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20</w:t>
                  </w:r>
                </w:p>
              </w:tc>
              <w:tc>
                <w:tcPr>
                  <w:tcW w:w="1418"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5</w:t>
                  </w:r>
                  <w:r>
                    <w:rPr>
                      <w:rFonts w:ascii="Times New Roman" w:hAnsi="Times New Roman" w:eastAsia="仿宋_GB2312"/>
                      <w:color w:val="000000"/>
                      <w:kern w:val="0"/>
                      <w:szCs w:val="21"/>
                    </w:rPr>
                    <w:t>.66</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45</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bCs/>
                      <w:color w:val="000000"/>
                      <w:kern w:val="0"/>
                      <w:szCs w:val="21"/>
                    </w:rPr>
                  </w:pPr>
                  <w:r>
                    <w:rPr>
                      <w:rFonts w:ascii="Times New Roman" w:hAnsi="Times New Roman" w:eastAsia="仿宋_GB2312"/>
                      <w:color w:val="000000"/>
                      <w:kern w:val="0"/>
                      <w:szCs w:val="21"/>
                    </w:rPr>
                    <w:t>总磷</w:t>
                  </w:r>
                </w:p>
              </w:tc>
              <w:tc>
                <w:tcPr>
                  <w:tcW w:w="1574" w:type="dxa"/>
                  <w:vAlign w:val="center"/>
                </w:tcPr>
                <w:p>
                  <w:pPr>
                    <w:widowControl/>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rPr>
                    <w:t>3</w:t>
                  </w:r>
                  <w:r>
                    <w:rPr>
                      <w:rFonts w:ascii="Times New Roman" w:hAnsi="Times New Roman" w:eastAsia="仿宋_GB2312"/>
                      <w:bCs/>
                      <w:color w:val="000000"/>
                      <w:kern w:val="0"/>
                      <w:szCs w:val="21"/>
                    </w:rPr>
                    <w:t>.86</w:t>
                  </w:r>
                </w:p>
              </w:tc>
              <w:tc>
                <w:tcPr>
                  <w:tcW w:w="1574" w:type="dxa"/>
                  <w:vAlign w:val="center"/>
                </w:tcPr>
                <w:p>
                  <w:pPr>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1.0</w:t>
                  </w:r>
                  <w:r>
                    <w:rPr>
                      <w:rFonts w:ascii="Times New Roman" w:hAnsi="Times New Roman" w:eastAsia="仿宋_GB2312"/>
                      <w:snapToGrid w:val="0"/>
                      <w:color w:val="000000"/>
                      <w:kern w:val="0"/>
                      <w:szCs w:val="21"/>
                    </w:rPr>
                    <w:t>92</w:t>
                  </w:r>
                </w:p>
              </w:tc>
              <w:tc>
                <w:tcPr>
                  <w:tcW w:w="1578" w:type="dxa"/>
                  <w:vMerge w:val="continue"/>
                  <w:vAlign w:val="center"/>
                </w:tcPr>
                <w:p>
                  <w:pPr>
                    <w:widowControl/>
                    <w:adjustRightInd w:val="0"/>
                    <w:snapToGrid w:val="0"/>
                    <w:jc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3</w:t>
                  </w:r>
                </w:p>
              </w:tc>
              <w:tc>
                <w:tcPr>
                  <w:tcW w:w="1418"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.85</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w:t>
                  </w:r>
                  <w:r>
                    <w:rPr>
                      <w:rFonts w:hint="eastAsia" w:ascii="Times New Roman" w:hAnsi="Times New Roman" w:eastAsia="仿宋_GB2312"/>
                      <w:snapToGrid w:val="0"/>
                      <w:color w:val="000000"/>
                      <w:kern w:val="0"/>
                      <w:szCs w:val="21"/>
                    </w:rPr>
                    <w:t>（</w:t>
                  </w:r>
                  <w:r>
                    <w:rPr>
                      <w:rFonts w:ascii="Times New Roman" w:hAnsi="Times New Roman" w:eastAsia="仿宋_GB2312"/>
                      <w:snapToGrid w:val="0"/>
                      <w:color w:val="000000"/>
                      <w:kern w:val="0"/>
                      <w:szCs w:val="21"/>
                    </w:rPr>
                    <w:t>8</w:t>
                  </w:r>
                  <w:r>
                    <w:rPr>
                      <w:rFonts w:hint="eastAsia" w:ascii="Times New Roman" w:hAnsi="Times New Roman" w:eastAsia="仿宋_GB2312"/>
                      <w:snapToGrid w:val="0"/>
                      <w:color w:val="000000"/>
                      <w:kern w:val="0"/>
                      <w:szCs w:val="21"/>
                    </w:rPr>
                    <w:t>）</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氟化物</w:t>
                  </w:r>
                </w:p>
              </w:tc>
              <w:tc>
                <w:tcPr>
                  <w:tcW w:w="1574" w:type="dxa"/>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.007</w:t>
                  </w:r>
                </w:p>
              </w:tc>
              <w:tc>
                <w:tcPr>
                  <w:tcW w:w="1574" w:type="dxa"/>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002</w:t>
                  </w:r>
                </w:p>
              </w:tc>
              <w:tc>
                <w:tcPr>
                  <w:tcW w:w="1578" w:type="dxa"/>
                  <w:vMerge w:val="continue"/>
                  <w:vAlign w:val="center"/>
                </w:tcPr>
                <w:p>
                  <w:pPr>
                    <w:widowControl/>
                    <w:adjustRightInd w:val="0"/>
                    <w:snapToGrid w:val="0"/>
                    <w:jc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0</w:t>
                  </w:r>
                  <w:r>
                    <w:rPr>
                      <w:rFonts w:ascii="Times New Roman" w:hAnsi="Times New Roman" w:eastAsia="仿宋_GB2312"/>
                      <w:snapToGrid w:val="0"/>
                      <w:color w:val="000000"/>
                      <w:kern w:val="0"/>
                      <w:szCs w:val="21"/>
                    </w:rPr>
                    <w:t>.007</w:t>
                  </w:r>
                </w:p>
              </w:tc>
              <w:tc>
                <w:tcPr>
                  <w:tcW w:w="1418"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.002</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077" w:type="dxa"/>
                  <w:vMerge w:val="continue"/>
                  <w:vAlign w:val="center"/>
                </w:tcPr>
                <w:p>
                  <w:pPr>
                    <w:jc w:val="center"/>
                    <w:textAlignment w:val="center"/>
                    <w:rPr>
                      <w:rFonts w:ascii="Times New Roman" w:hAnsi="Times New Roman" w:eastAsia="仿宋_GB2312"/>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84" w:type="dxa"/>
                  <w:vMerge w:val="continue"/>
                  <w:vAlign w:val="center"/>
                </w:tcPr>
                <w:p>
                  <w:pPr>
                    <w:widowControl/>
                    <w:jc w:val="center"/>
                    <w:rPr>
                      <w:rFonts w:ascii="Times New Roman" w:hAnsi="Times New Roman" w:eastAsia="仿宋_GB2312"/>
                      <w:bCs/>
                      <w:color w:val="000000"/>
                      <w:kern w:val="0"/>
                      <w:szCs w:val="21"/>
                    </w:rPr>
                  </w:pPr>
                </w:p>
              </w:tc>
              <w:tc>
                <w:tcPr>
                  <w:tcW w:w="992" w:type="dxa"/>
                  <w:vMerge w:val="continue"/>
                  <w:vAlign w:val="center"/>
                </w:tcPr>
                <w:p>
                  <w:pPr>
                    <w:widowControl/>
                    <w:jc w:val="center"/>
                    <w:rPr>
                      <w:rFonts w:ascii="Times New Roman" w:hAnsi="Times New Roman" w:eastAsia="仿宋_GB2312"/>
                      <w:snapToGrid w:val="0"/>
                      <w:color w:val="000000"/>
                      <w:kern w:val="0"/>
                      <w:szCs w:val="21"/>
                    </w:rPr>
                  </w:pPr>
                </w:p>
              </w:tc>
              <w:tc>
                <w:tcPr>
                  <w:tcW w:w="902" w:type="dxa"/>
                  <w:vAlign w:val="center"/>
                </w:tcPr>
                <w:p>
                  <w:pPr>
                    <w:widowControl/>
                    <w:ind w:left="29" w:leftChars="-100" w:right="-195" w:rightChars="-93" w:hanging="239" w:hangingChars="114"/>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L</w:t>
                  </w:r>
                  <w:r>
                    <w:rPr>
                      <w:rFonts w:ascii="Times New Roman" w:hAnsi="Times New Roman" w:eastAsia="仿宋_GB2312"/>
                      <w:color w:val="000000"/>
                      <w:kern w:val="0"/>
                      <w:szCs w:val="21"/>
                    </w:rPr>
                    <w:t>AS</w:t>
                  </w:r>
                </w:p>
              </w:tc>
              <w:tc>
                <w:tcPr>
                  <w:tcW w:w="1574" w:type="dxa"/>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0.212</w:t>
                  </w:r>
                </w:p>
              </w:tc>
              <w:tc>
                <w:tcPr>
                  <w:tcW w:w="1574" w:type="dxa"/>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.06</w:t>
                  </w:r>
                </w:p>
              </w:tc>
              <w:tc>
                <w:tcPr>
                  <w:tcW w:w="1578" w:type="dxa"/>
                  <w:vMerge w:val="continue"/>
                  <w:vAlign w:val="center"/>
                </w:tcPr>
                <w:p>
                  <w:pPr>
                    <w:widowControl/>
                    <w:adjustRightInd w:val="0"/>
                    <w:snapToGrid w:val="0"/>
                    <w:jc w:val="center"/>
                    <w:rPr>
                      <w:rFonts w:ascii="Times New Roman" w:hAnsi="Times New Roman" w:eastAsia="仿宋_GB2312"/>
                      <w:snapToGrid w:val="0"/>
                      <w:color w:val="000000"/>
                      <w:kern w:val="0"/>
                      <w:szCs w:val="21"/>
                    </w:rPr>
                  </w:pPr>
                </w:p>
              </w:tc>
              <w:tc>
                <w:tcPr>
                  <w:tcW w:w="1402"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0.</w:t>
                  </w:r>
                  <w:r>
                    <w:rPr>
                      <w:rFonts w:ascii="Times New Roman" w:hAnsi="Times New Roman" w:eastAsia="仿宋_GB2312"/>
                      <w:snapToGrid w:val="0"/>
                      <w:color w:val="000000"/>
                      <w:kern w:val="0"/>
                      <w:szCs w:val="21"/>
                    </w:rPr>
                    <w:t>212</w:t>
                  </w:r>
                </w:p>
              </w:tc>
              <w:tc>
                <w:tcPr>
                  <w:tcW w:w="1418" w:type="dxa"/>
                  <w:vAlign w:val="center"/>
                </w:tcPr>
                <w:p>
                  <w:pPr>
                    <w:widowControl/>
                    <w:jc w:val="center"/>
                    <w:textAlignment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06</w:t>
                  </w:r>
                </w:p>
              </w:tc>
              <w:tc>
                <w:tcPr>
                  <w:tcW w:w="1259" w:type="dxa"/>
                  <w:vAlign w:val="center"/>
                </w:tcPr>
                <w:p>
                  <w:pPr>
                    <w:widowControl/>
                    <w:jc w:val="center"/>
                    <w:textAlignment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0.</w:t>
                  </w:r>
                  <w:r>
                    <w:rPr>
                      <w:rFonts w:ascii="Times New Roman" w:hAnsi="Times New Roman" w:eastAsia="仿宋_GB2312"/>
                      <w:snapToGrid w:val="0"/>
                      <w:color w:val="000000"/>
                      <w:kern w:val="0"/>
                      <w:szCs w:val="21"/>
                    </w:rPr>
                    <w:t>5</w:t>
                  </w:r>
                </w:p>
              </w:tc>
              <w:tc>
                <w:tcPr>
                  <w:tcW w:w="1077" w:type="dxa"/>
                  <w:vAlign w:val="center"/>
                </w:tcPr>
                <w:p>
                  <w:pPr>
                    <w:jc w:val="center"/>
                    <w:textAlignment w:val="center"/>
                    <w:rPr>
                      <w:rFonts w:ascii="Times New Roman" w:hAnsi="Times New Roman" w:eastAsia="仿宋_GB2312"/>
                      <w:color w:val="000000"/>
                      <w:kern w:val="0"/>
                      <w:szCs w:val="21"/>
                    </w:rPr>
                  </w:pPr>
                </w:p>
              </w:tc>
            </w:tr>
            <w:bookmarkEnd w:id="12"/>
          </w:tbl>
          <w:p>
            <w:pPr>
              <w:adjustRightInd w:val="0"/>
              <w:snapToGrid w:val="0"/>
              <w:spacing w:line="480" w:lineRule="exact"/>
              <w:rPr>
                <w:rFonts w:ascii="仿宋_GB2312" w:hAnsi="Times New Roman" w:eastAsia="仿宋_GB2312"/>
                <w:color w:val="000000"/>
                <w:sz w:val="24"/>
                <w:szCs w:val="24"/>
              </w:rPr>
            </w:pPr>
            <w:r>
              <w:rPr>
                <w:rFonts w:ascii="Times New Roman" w:hAnsi="Times New Roman" w:eastAsia="仿宋_GB2312"/>
                <w:color w:val="000000"/>
                <w:szCs w:val="21"/>
              </w:rPr>
              <w:t>注：括号外数值为水温&gt;120C 时的控制指标，括号内数值为水温≤120 ℃时的控制指标</w:t>
            </w:r>
            <w:r>
              <w:rPr>
                <w:rFonts w:hint="eastAsia" w:ascii="仿宋_GB2312" w:hAnsi="Times New Roman" w:eastAsia="仿宋_GB2312"/>
                <w:color w:val="000000"/>
                <w:sz w:val="24"/>
                <w:szCs w:val="24"/>
              </w:rPr>
              <w:t>。</w:t>
            </w:r>
          </w:p>
          <w:p>
            <w:pPr>
              <w:pStyle w:val="2"/>
            </w:pPr>
          </w:p>
        </w:tc>
      </w:tr>
    </w:tbl>
    <w:p>
      <w:pPr>
        <w:pStyle w:val="248"/>
        <w:ind w:firstLine="0" w:firstLineChars="0"/>
        <w:sectPr>
          <w:pgSz w:w="16840" w:h="11907" w:orient="landscape"/>
          <w:pgMar w:top="1797" w:right="1440" w:bottom="1797" w:left="1440" w:header="851" w:footer="992" w:gutter="0"/>
          <w:cols w:space="720" w:num="1"/>
          <w:titlePg/>
          <w:docGrid w:linePitch="312" w:charSpace="0"/>
        </w:sectPr>
      </w:pP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3" w:type="dxa"/>
            <w:tcBorders>
              <w:top w:val="single" w:color="auto" w:sz="4" w:space="0"/>
              <w:left w:val="single" w:color="auto" w:sz="4" w:space="0"/>
              <w:bottom w:val="single" w:color="auto" w:sz="4" w:space="0"/>
              <w:right w:val="single" w:color="auto" w:sz="4" w:space="0"/>
              <w:insideH w:val="single" w:sz="4" w:space="0"/>
              <w:insideV w:val="nil"/>
              <w:tl2br w:val="nil"/>
              <w:tr2bl w:val="nil"/>
            </w:tcBorders>
            <w:vAlign w:val="top"/>
          </w:tcPr>
          <w:p>
            <w:pPr>
              <w:pStyle w:val="28"/>
              <w:adjustRightInd w:val="0"/>
              <w:snapToGrid w:val="0"/>
              <w:spacing w:line="500" w:lineRule="exact"/>
              <w:ind w:firstLineChars="0"/>
              <w:rPr>
                <w:rFonts w:ascii="Times New Roman" w:hAnsi="Times New Roman" w:eastAsia="仿宋_GB2312"/>
                <w:b w:val="0"/>
                <w:color w:val="000000"/>
                <w:sz w:val="24"/>
                <w:szCs w:val="24"/>
              </w:rPr>
            </w:pPr>
            <w:bookmarkStart w:id="13" w:name="_Hlk38029051"/>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3 \* GB3 </w:instrText>
            </w:r>
            <w:r>
              <w:rPr>
                <w:rFonts w:ascii="Times New Roman" w:hAnsi="Times New Roman" w:eastAsia="仿宋_GB2312"/>
                <w:b/>
                <w:color w:val="000000"/>
                <w:sz w:val="24"/>
                <w:szCs w:val="24"/>
              </w:rPr>
              <w:fldChar w:fldCharType="separate"/>
            </w:r>
            <w:r>
              <w:rPr>
                <w:rFonts w:hint="eastAsia" w:ascii="宋体" w:hAnsi="宋体" w:cs="宋体"/>
                <w:b w:val="0"/>
                <w:color w:val="000000"/>
                <w:sz w:val="24"/>
                <w:szCs w:val="24"/>
              </w:rPr>
              <w:t>③</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 xml:space="preserve"> 固废</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项目运营期间产生的固体废物主要包括：职工办公生活产生的生活垃圾，实验过程中产生的废</w:t>
            </w:r>
            <w:r>
              <w:rPr>
                <w:rFonts w:hint="eastAsia" w:ascii="Times New Roman" w:hAnsi="Times New Roman" w:eastAsia="仿宋_GB2312"/>
                <w:b w:val="0"/>
                <w:color w:val="000000"/>
                <w:sz w:val="24"/>
                <w:szCs w:val="24"/>
              </w:rPr>
              <w:t>反渗透</w:t>
            </w:r>
            <w:r>
              <w:rPr>
                <w:rFonts w:ascii="Times New Roman" w:hAnsi="Times New Roman" w:eastAsia="仿宋_GB2312"/>
                <w:b w:val="0"/>
                <w:color w:val="000000"/>
                <w:sz w:val="24"/>
                <w:szCs w:val="24"/>
              </w:rPr>
              <w:t>膜</w:t>
            </w:r>
            <w:r>
              <w:rPr>
                <w:rFonts w:hint="eastAsia" w:ascii="Times New Roman" w:hAnsi="Times New Roman" w:eastAsia="仿宋_GB2312"/>
                <w:b w:val="0"/>
                <w:color w:val="000000"/>
                <w:sz w:val="24"/>
                <w:szCs w:val="24"/>
              </w:rPr>
              <w:t>，废玻璃器皿、废移液枪枪头等废实验耗材，</w:t>
            </w:r>
            <w:r>
              <w:rPr>
                <w:rFonts w:ascii="Times New Roman" w:hAnsi="Times New Roman" w:eastAsia="仿宋_GB2312"/>
                <w:b w:val="0"/>
                <w:color w:val="000000"/>
                <w:sz w:val="24"/>
                <w:szCs w:val="24"/>
              </w:rPr>
              <w:t>废试剂瓶</w:t>
            </w:r>
            <w:r>
              <w:rPr>
                <w:rFonts w:hint="eastAsia" w:ascii="Times New Roman" w:hAnsi="Times New Roman" w:eastAsia="仿宋_GB2312"/>
                <w:b w:val="0"/>
                <w:color w:val="000000"/>
                <w:sz w:val="24"/>
                <w:szCs w:val="24"/>
              </w:rPr>
              <w:t>，废药剂包装，</w:t>
            </w:r>
            <w:r>
              <w:rPr>
                <w:rFonts w:ascii="Times New Roman" w:hAnsi="Times New Roman" w:eastAsia="仿宋_GB2312"/>
                <w:b w:val="0"/>
                <w:color w:val="000000"/>
                <w:sz w:val="24"/>
                <w:szCs w:val="24"/>
              </w:rPr>
              <w:t>废</w:t>
            </w:r>
            <w:r>
              <w:rPr>
                <w:rFonts w:hint="eastAsia" w:ascii="Times New Roman" w:hAnsi="Times New Roman" w:eastAsia="仿宋_GB2312"/>
                <w:b w:val="0"/>
                <w:color w:val="000000"/>
                <w:sz w:val="24"/>
                <w:szCs w:val="24"/>
              </w:rPr>
              <w:t>固体</w:t>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液体样品，</w:t>
            </w:r>
            <w:r>
              <w:rPr>
                <w:rFonts w:ascii="Times New Roman" w:hAnsi="Times New Roman" w:eastAsia="仿宋_GB2312"/>
                <w:b w:val="0"/>
                <w:color w:val="000000"/>
                <w:sz w:val="24"/>
                <w:szCs w:val="24"/>
              </w:rPr>
              <w:t>实验室</w:t>
            </w:r>
            <w:r>
              <w:rPr>
                <w:rFonts w:hint="eastAsia" w:ascii="Times New Roman" w:hAnsi="Times New Roman" w:eastAsia="仿宋_GB2312"/>
                <w:b w:val="0"/>
                <w:color w:val="000000"/>
                <w:sz w:val="24"/>
                <w:szCs w:val="24"/>
              </w:rPr>
              <w:t>科研、检测废液及前两道清洗</w:t>
            </w:r>
            <w:r>
              <w:rPr>
                <w:rFonts w:ascii="Times New Roman" w:hAnsi="Times New Roman" w:eastAsia="仿宋_GB2312"/>
                <w:b w:val="0"/>
                <w:color w:val="000000"/>
                <w:sz w:val="24"/>
                <w:szCs w:val="24"/>
              </w:rPr>
              <w:t>废液</w:t>
            </w:r>
            <w:r>
              <w:rPr>
                <w:rFonts w:hint="eastAsia" w:ascii="Times New Roman" w:hAnsi="Times New Roman" w:eastAsia="仿宋_GB2312"/>
                <w:b w:val="0"/>
                <w:color w:val="000000"/>
                <w:sz w:val="24"/>
                <w:szCs w:val="24"/>
              </w:rPr>
              <w:t>，</w:t>
            </w:r>
            <w:r>
              <w:rPr>
                <w:rFonts w:ascii="Times New Roman" w:hAnsi="Times New Roman" w:eastAsia="仿宋_GB2312"/>
                <w:b w:val="0"/>
                <w:color w:val="000000"/>
                <w:sz w:val="24"/>
                <w:szCs w:val="24"/>
              </w:rPr>
              <w:t>过期化学品，废气处理过程中产生的废活性炭</w:t>
            </w:r>
            <w:r>
              <w:rPr>
                <w:rFonts w:hint="eastAsia" w:ascii="Times New Roman" w:hAnsi="Times New Roman" w:eastAsia="仿宋_GB2312"/>
                <w:b w:val="0"/>
                <w:color w:val="000000"/>
                <w:sz w:val="24"/>
                <w:szCs w:val="24"/>
              </w:rPr>
              <w:t>，藻类、斑马鱼尸体</w:t>
            </w:r>
            <w:r>
              <w:rPr>
                <w:rFonts w:ascii="Times New Roman" w:hAnsi="Times New Roman" w:eastAsia="仿宋_GB2312"/>
                <w:b w:val="0"/>
                <w:color w:val="000000"/>
                <w:sz w:val="24"/>
                <w:szCs w:val="24"/>
              </w:rPr>
              <w:t>。</w:t>
            </w:r>
          </w:p>
          <w:p>
            <w:pPr>
              <w:autoSpaceDE w:val="0"/>
              <w:autoSpaceDN w:val="0"/>
              <w:adjustRightInd w:val="0"/>
              <w:snapToGrid w:val="0"/>
              <w:spacing w:line="500" w:lineRule="exact"/>
              <w:ind w:firstLine="482" w:firstLineChars="200"/>
              <w:rPr>
                <w:rFonts w:ascii="Times New Roman" w:hAnsi="Times New Roman" w:eastAsia="仿宋_GB2312"/>
                <w:b w:val="0"/>
                <w:color w:val="000000"/>
                <w:sz w:val="24"/>
                <w:szCs w:val="24"/>
              </w:rPr>
            </w:pPr>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1 \* alphabetic </w:instrText>
            </w:r>
            <w:r>
              <w:rPr>
                <w:rFonts w:ascii="Times New Roman" w:hAnsi="Times New Roman" w:eastAsia="仿宋_GB2312"/>
                <w:b/>
                <w:color w:val="000000"/>
                <w:sz w:val="24"/>
                <w:szCs w:val="24"/>
              </w:rPr>
              <w:fldChar w:fldCharType="separate"/>
            </w:r>
            <w:r>
              <w:rPr>
                <w:rFonts w:ascii="Times New Roman" w:hAnsi="Times New Roman" w:eastAsia="仿宋_GB2312"/>
                <w:b w:val="0"/>
                <w:color w:val="000000"/>
                <w:sz w:val="24"/>
                <w:szCs w:val="24"/>
              </w:rPr>
              <w:t>a</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、生活垃圾</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项目职工定员27人，年工作250天，生活垃圾人均产生量为0.5kg/d，则项目生活垃圾产生量为3.375t/a，由环卫部门统一清运。</w:t>
            </w:r>
          </w:p>
          <w:p>
            <w:pPr>
              <w:autoSpaceDE w:val="0"/>
              <w:autoSpaceDN w:val="0"/>
              <w:adjustRightInd w:val="0"/>
              <w:snapToGrid w:val="0"/>
              <w:spacing w:line="500" w:lineRule="exact"/>
              <w:ind w:firstLine="482" w:firstLineChars="200"/>
              <w:rPr>
                <w:rFonts w:ascii="Times New Roman" w:hAnsi="Times New Roman" w:eastAsia="仿宋_GB2312"/>
                <w:b w:val="0"/>
                <w:color w:val="000000"/>
                <w:sz w:val="24"/>
                <w:szCs w:val="24"/>
              </w:rPr>
            </w:pPr>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2 \* alphabetic </w:instrText>
            </w:r>
            <w:r>
              <w:rPr>
                <w:rFonts w:ascii="Times New Roman" w:hAnsi="Times New Roman" w:eastAsia="仿宋_GB2312"/>
                <w:b/>
                <w:color w:val="000000"/>
                <w:sz w:val="24"/>
                <w:szCs w:val="24"/>
              </w:rPr>
              <w:fldChar w:fldCharType="separate"/>
            </w:r>
            <w:r>
              <w:rPr>
                <w:rFonts w:ascii="Times New Roman" w:hAnsi="Times New Roman" w:eastAsia="仿宋_GB2312"/>
                <w:b w:val="0"/>
                <w:color w:val="000000"/>
                <w:sz w:val="24"/>
                <w:szCs w:val="24"/>
              </w:rPr>
              <w:t>b</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、废</w:t>
            </w:r>
            <w:r>
              <w:rPr>
                <w:rFonts w:hint="eastAsia" w:ascii="Times New Roman" w:hAnsi="Times New Roman" w:eastAsia="仿宋_GB2312"/>
                <w:b w:val="0"/>
                <w:color w:val="000000"/>
                <w:sz w:val="24"/>
                <w:szCs w:val="24"/>
              </w:rPr>
              <w:t>反渗透</w:t>
            </w:r>
            <w:r>
              <w:rPr>
                <w:rFonts w:ascii="Times New Roman" w:hAnsi="Times New Roman" w:eastAsia="仿宋_GB2312"/>
                <w:b w:val="0"/>
                <w:color w:val="000000"/>
                <w:sz w:val="24"/>
                <w:szCs w:val="24"/>
              </w:rPr>
              <w:t>膜</w:t>
            </w:r>
          </w:p>
          <w:p>
            <w:pPr>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实验室纯水系统使用的</w:t>
            </w:r>
            <w:r>
              <w:rPr>
                <w:rFonts w:hint="eastAsia" w:ascii="Times New Roman" w:hAnsi="Times New Roman" w:eastAsia="仿宋_GB2312"/>
                <w:b w:val="0"/>
                <w:color w:val="000000"/>
                <w:sz w:val="24"/>
                <w:szCs w:val="24"/>
              </w:rPr>
              <w:t>反渗透</w:t>
            </w:r>
            <w:r>
              <w:rPr>
                <w:rFonts w:ascii="Times New Roman" w:hAnsi="Times New Roman" w:eastAsia="仿宋_GB2312"/>
                <w:b w:val="0"/>
                <w:color w:val="000000"/>
                <w:sz w:val="24"/>
                <w:szCs w:val="24"/>
              </w:rPr>
              <w:t>膜需定期更换</w:t>
            </w:r>
            <w:r>
              <w:rPr>
                <w:rFonts w:hint="eastAsia" w:ascii="Times New Roman" w:hAnsi="Times New Roman" w:eastAsia="仿宋_GB2312"/>
                <w:b w:val="0"/>
                <w:color w:val="000000"/>
                <w:sz w:val="24"/>
                <w:szCs w:val="24"/>
              </w:rPr>
              <w:t>（设备进水为自来水）</w:t>
            </w:r>
            <w:r>
              <w:rPr>
                <w:rFonts w:ascii="Times New Roman" w:hAnsi="Times New Roman" w:eastAsia="仿宋_GB2312"/>
                <w:b w:val="0"/>
                <w:color w:val="000000"/>
                <w:sz w:val="24"/>
                <w:szCs w:val="24"/>
              </w:rPr>
              <w:t>，产生量约0.01t/a，由环卫部门统一清运。</w:t>
            </w:r>
          </w:p>
          <w:p>
            <w:pPr>
              <w:autoSpaceDE w:val="0"/>
              <w:autoSpaceDN w:val="0"/>
              <w:adjustRightInd w:val="0"/>
              <w:snapToGrid w:val="0"/>
              <w:spacing w:line="500" w:lineRule="exact"/>
              <w:ind w:left="48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c、废玻璃器皿等耗材</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检测</w:t>
            </w:r>
            <w:r>
              <w:rPr>
                <w:rFonts w:hint="eastAsia" w:ascii="Times New Roman" w:hAnsi="Times New Roman" w:eastAsia="仿宋_GB2312"/>
                <w:b w:val="0"/>
                <w:color w:val="000000"/>
                <w:sz w:val="24"/>
                <w:szCs w:val="24"/>
              </w:rPr>
              <w:t>及科研实验</w:t>
            </w:r>
            <w:r>
              <w:rPr>
                <w:rFonts w:ascii="Times New Roman" w:hAnsi="Times New Roman" w:eastAsia="仿宋_GB2312"/>
                <w:b w:val="0"/>
                <w:color w:val="000000"/>
                <w:sz w:val="24"/>
                <w:szCs w:val="24"/>
              </w:rPr>
              <w:t>过程中产生的废</w:t>
            </w:r>
            <w:r>
              <w:rPr>
                <w:rFonts w:hint="eastAsia" w:ascii="Times New Roman" w:hAnsi="Times New Roman" w:eastAsia="仿宋_GB2312"/>
                <w:b w:val="0"/>
                <w:color w:val="000000"/>
                <w:sz w:val="24"/>
                <w:szCs w:val="24"/>
              </w:rPr>
              <w:t>玻璃器皿</w:t>
            </w:r>
            <w:r>
              <w:rPr>
                <w:rFonts w:ascii="Times New Roman" w:hAnsi="Times New Roman" w:eastAsia="仿宋_GB2312"/>
                <w:b w:val="0"/>
                <w:color w:val="000000"/>
                <w:sz w:val="24"/>
                <w:szCs w:val="24"/>
              </w:rPr>
              <w:t>、废移液枪枪头等沾有残留化学品的耗材约0.5t/a。</w:t>
            </w:r>
            <w:r>
              <w:rPr>
                <w:rFonts w:hint="eastAsia" w:ascii="Times New Roman" w:hAnsi="Times New Roman" w:eastAsia="仿宋_GB2312"/>
                <w:b w:val="0"/>
                <w:color w:val="000000"/>
                <w:sz w:val="24"/>
                <w:szCs w:val="24"/>
              </w:rPr>
              <w:t>废玻璃器皿、</w:t>
            </w:r>
            <w:r>
              <w:rPr>
                <w:rFonts w:ascii="Times New Roman" w:hAnsi="Times New Roman" w:eastAsia="仿宋_GB2312"/>
                <w:b w:val="0"/>
                <w:color w:val="000000"/>
                <w:sz w:val="24"/>
                <w:szCs w:val="24"/>
              </w:rPr>
              <w:t>废移液枪枪头等属于HW49，废物代码为900-047-49，委托有资质单位处置。</w:t>
            </w:r>
          </w:p>
          <w:p>
            <w:pPr>
              <w:autoSpaceDE w:val="0"/>
              <w:autoSpaceDN w:val="0"/>
              <w:adjustRightInd w:val="0"/>
              <w:snapToGrid w:val="0"/>
              <w:spacing w:line="500" w:lineRule="exact"/>
              <w:ind w:left="48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d、废试剂瓶</w:t>
            </w:r>
          </w:p>
          <w:p>
            <w:pPr>
              <w:autoSpaceDE w:val="0"/>
              <w:autoSpaceDN w:val="0"/>
              <w:adjustRightInd w:val="0"/>
              <w:snapToGrid w:val="0"/>
              <w:spacing w:line="500" w:lineRule="exact"/>
              <w:ind w:firstLine="480" w:firstLineChars="200"/>
              <w:rPr>
                <w:b/>
              </w:rPr>
            </w:pPr>
            <w:r>
              <w:rPr>
                <w:rFonts w:ascii="Times New Roman" w:hAnsi="Times New Roman" w:eastAsia="仿宋_GB2312"/>
                <w:b w:val="0"/>
                <w:color w:val="000000"/>
                <w:sz w:val="24"/>
                <w:szCs w:val="24"/>
              </w:rPr>
              <w:t>检测</w:t>
            </w:r>
            <w:r>
              <w:rPr>
                <w:rFonts w:hint="eastAsia" w:ascii="Times New Roman" w:hAnsi="Times New Roman" w:eastAsia="仿宋_GB2312"/>
                <w:b w:val="0"/>
                <w:color w:val="000000"/>
                <w:sz w:val="24"/>
                <w:szCs w:val="24"/>
              </w:rPr>
              <w:t>及科研实验</w:t>
            </w:r>
            <w:r>
              <w:rPr>
                <w:rFonts w:ascii="Times New Roman" w:hAnsi="Times New Roman" w:eastAsia="仿宋_GB2312"/>
                <w:b w:val="0"/>
                <w:color w:val="000000"/>
                <w:sz w:val="24"/>
                <w:szCs w:val="24"/>
              </w:rPr>
              <w:t>过程中产生的废试剂瓶沾有残留化学品的耗材约0.8t/a。根据《国家危险废物名录》（2021年），废试剂瓶属于HW49，废物代码为900-047-49，委托有资质单位处置。</w:t>
            </w:r>
          </w:p>
          <w:p>
            <w:pPr>
              <w:autoSpaceDE w:val="0"/>
              <w:autoSpaceDN w:val="0"/>
              <w:adjustRightInd w:val="0"/>
              <w:snapToGrid w:val="0"/>
              <w:spacing w:line="500" w:lineRule="exact"/>
              <w:ind w:left="48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e</w:t>
            </w:r>
            <w:r>
              <w:rPr>
                <w:rFonts w:ascii="Times New Roman" w:hAnsi="Times New Roman" w:eastAsia="仿宋_GB2312"/>
                <w:b w:val="0"/>
                <w:color w:val="000000"/>
                <w:sz w:val="24"/>
                <w:szCs w:val="24"/>
              </w:rPr>
              <w:t>、废</w:t>
            </w:r>
            <w:r>
              <w:rPr>
                <w:rFonts w:hint="eastAsia" w:ascii="Times New Roman" w:hAnsi="Times New Roman" w:eastAsia="仿宋_GB2312"/>
                <w:b w:val="0"/>
                <w:color w:val="000000"/>
                <w:sz w:val="24"/>
                <w:szCs w:val="24"/>
              </w:rPr>
              <w:t>药剂包装</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实验</w:t>
            </w:r>
            <w:r>
              <w:rPr>
                <w:rFonts w:ascii="Times New Roman" w:hAnsi="Times New Roman" w:eastAsia="仿宋_GB2312"/>
                <w:b w:val="0"/>
                <w:color w:val="000000"/>
                <w:sz w:val="24"/>
                <w:szCs w:val="24"/>
              </w:rPr>
              <w:t>过程中产生</w:t>
            </w:r>
            <w:r>
              <w:rPr>
                <w:rFonts w:hint="eastAsia" w:ascii="Times New Roman" w:hAnsi="Times New Roman" w:eastAsia="仿宋_GB2312"/>
                <w:b w:val="0"/>
                <w:color w:val="000000"/>
                <w:sz w:val="24"/>
                <w:szCs w:val="24"/>
              </w:rPr>
              <w:t>沾染废酸、有机溶剂等化学品的</w:t>
            </w:r>
            <w:r>
              <w:rPr>
                <w:rFonts w:ascii="Times New Roman" w:hAnsi="Times New Roman" w:eastAsia="仿宋_GB2312"/>
                <w:b w:val="0"/>
                <w:color w:val="000000"/>
                <w:sz w:val="24"/>
                <w:szCs w:val="24"/>
              </w:rPr>
              <w:t>废</w:t>
            </w:r>
            <w:r>
              <w:rPr>
                <w:rFonts w:hint="eastAsia" w:ascii="Times New Roman" w:hAnsi="Times New Roman" w:eastAsia="仿宋_GB2312"/>
                <w:b w:val="0"/>
                <w:color w:val="000000"/>
                <w:sz w:val="24"/>
                <w:szCs w:val="24"/>
              </w:rPr>
              <w:t>药剂包装</w:t>
            </w:r>
            <w:r>
              <w:rPr>
                <w:rFonts w:ascii="Times New Roman" w:hAnsi="Times New Roman" w:eastAsia="仿宋_GB2312"/>
                <w:b w:val="0"/>
                <w:color w:val="000000"/>
                <w:sz w:val="24"/>
                <w:szCs w:val="24"/>
              </w:rPr>
              <w:t>约0.2t/a。根据《国家危险废物名录》（2021年），废试剂瓶属于HW49，废物代码为900-04</w:t>
            </w:r>
            <w:r>
              <w:rPr>
                <w:rFonts w:hint="eastAsia" w:ascii="Times New Roman" w:hAnsi="Times New Roman" w:eastAsia="仿宋_GB2312"/>
                <w:b w:val="0"/>
                <w:color w:val="000000"/>
                <w:sz w:val="24"/>
                <w:szCs w:val="24"/>
              </w:rPr>
              <w:t>7</w:t>
            </w:r>
            <w:r>
              <w:rPr>
                <w:rFonts w:ascii="Times New Roman" w:hAnsi="Times New Roman" w:eastAsia="仿宋_GB2312"/>
                <w:b w:val="0"/>
                <w:color w:val="000000"/>
                <w:sz w:val="24"/>
                <w:szCs w:val="24"/>
              </w:rPr>
              <w:t>-49，委托有资质单位处置。</w:t>
            </w:r>
          </w:p>
          <w:p>
            <w:pPr>
              <w:autoSpaceDE w:val="0"/>
              <w:autoSpaceDN w:val="0"/>
              <w:adjustRightInd w:val="0"/>
              <w:snapToGrid w:val="0"/>
              <w:spacing w:line="500" w:lineRule="exact"/>
              <w:ind w:left="48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f</w:t>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废固体</w:t>
            </w:r>
            <w:r>
              <w:rPr>
                <w:rFonts w:ascii="Times New Roman" w:hAnsi="Times New Roman" w:eastAsia="仿宋_GB2312"/>
                <w:b w:val="0"/>
                <w:color w:val="000000"/>
                <w:sz w:val="24"/>
                <w:szCs w:val="24"/>
              </w:rPr>
              <w:t>样品</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采样时，为确保样品足够使用、数据真实可信，现场人员将采集足够的样品以便检测。检验完成后</w:t>
            </w:r>
            <w:r>
              <w:rPr>
                <w:rFonts w:hint="eastAsia" w:ascii="Times New Roman" w:hAnsi="Times New Roman" w:eastAsia="仿宋_GB2312"/>
                <w:b w:val="0"/>
                <w:color w:val="000000"/>
                <w:sz w:val="24"/>
                <w:szCs w:val="24"/>
              </w:rPr>
              <w:t>具有危险特性的残留固体</w:t>
            </w:r>
            <w:r>
              <w:rPr>
                <w:rFonts w:ascii="Times New Roman" w:hAnsi="Times New Roman" w:eastAsia="仿宋_GB2312"/>
                <w:b w:val="0"/>
                <w:color w:val="000000"/>
                <w:sz w:val="24"/>
                <w:szCs w:val="24"/>
              </w:rPr>
              <w:t>样品产生量约为4.0t/a，按危险废物</w:t>
            </w:r>
            <w:r>
              <w:rPr>
                <w:rFonts w:ascii="Times New Roman" w:hAnsi="Times New Roman" w:eastAsia="仿宋_GB2312"/>
                <w:b w:val="0"/>
                <w:snapToGrid w:val="0"/>
                <w:color w:val="000000"/>
                <w:kern w:val="0"/>
                <w:sz w:val="24"/>
                <w:szCs w:val="24"/>
              </w:rPr>
              <w:t>HW49</w:t>
            </w:r>
            <w:r>
              <w:rPr>
                <w:rFonts w:ascii="Times New Roman" w:hAnsi="Times New Roman" w:eastAsia="仿宋_GB2312"/>
                <w:b w:val="0"/>
                <w:color w:val="000000"/>
                <w:sz w:val="24"/>
                <w:szCs w:val="24"/>
              </w:rPr>
              <w:t>管理，</w:t>
            </w:r>
            <w:r>
              <w:rPr>
                <w:rFonts w:ascii="Times New Roman" w:hAnsi="Times New Roman" w:eastAsia="仿宋_GB2312"/>
                <w:b w:val="0"/>
                <w:snapToGrid w:val="0"/>
                <w:color w:val="000000"/>
                <w:kern w:val="0"/>
                <w:sz w:val="24"/>
                <w:szCs w:val="24"/>
              </w:rPr>
              <w:t>废物代码为900-047-49，委托有资质单位处置</w:t>
            </w:r>
            <w:r>
              <w:rPr>
                <w:rFonts w:ascii="Times New Roman" w:hAnsi="Times New Roman" w:eastAsia="仿宋_GB2312"/>
                <w:b w:val="0"/>
                <w:color w:val="000000"/>
                <w:sz w:val="24"/>
                <w:szCs w:val="24"/>
              </w:rPr>
              <w:t>。</w:t>
            </w:r>
          </w:p>
          <w:p>
            <w:pPr>
              <w:autoSpaceDE w:val="0"/>
              <w:autoSpaceDN w:val="0"/>
              <w:adjustRightInd w:val="0"/>
              <w:snapToGrid w:val="0"/>
              <w:spacing w:line="500" w:lineRule="exact"/>
              <w:ind w:left="48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g</w:t>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废液体</w:t>
            </w:r>
            <w:r>
              <w:rPr>
                <w:rFonts w:ascii="Times New Roman" w:hAnsi="Times New Roman" w:eastAsia="仿宋_GB2312"/>
                <w:b w:val="0"/>
                <w:color w:val="000000"/>
                <w:sz w:val="24"/>
                <w:szCs w:val="24"/>
              </w:rPr>
              <w:t>样品</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采样时，为确保样品足够使用、数据真实可信，现场人员将采集足够的样品以便检测。检验完成后</w:t>
            </w:r>
            <w:r>
              <w:rPr>
                <w:rFonts w:hint="eastAsia" w:ascii="Times New Roman" w:hAnsi="Times New Roman" w:eastAsia="仿宋_GB2312"/>
                <w:b w:val="0"/>
                <w:color w:val="000000"/>
                <w:sz w:val="24"/>
                <w:szCs w:val="24"/>
              </w:rPr>
              <w:t>具有危险特性的残留液体</w:t>
            </w:r>
            <w:r>
              <w:rPr>
                <w:rFonts w:ascii="Times New Roman" w:hAnsi="Times New Roman" w:eastAsia="仿宋_GB2312"/>
                <w:b w:val="0"/>
                <w:color w:val="000000"/>
                <w:sz w:val="24"/>
                <w:szCs w:val="24"/>
              </w:rPr>
              <w:t>样品产生量约为2.0t/a，按危险废物</w:t>
            </w:r>
            <w:r>
              <w:rPr>
                <w:rFonts w:ascii="Times New Roman" w:hAnsi="Times New Roman" w:eastAsia="仿宋_GB2312"/>
                <w:b w:val="0"/>
                <w:snapToGrid w:val="0"/>
                <w:color w:val="000000"/>
                <w:kern w:val="0"/>
                <w:sz w:val="24"/>
                <w:szCs w:val="24"/>
              </w:rPr>
              <w:t>HW49</w:t>
            </w:r>
            <w:r>
              <w:rPr>
                <w:rFonts w:ascii="Times New Roman" w:hAnsi="Times New Roman" w:eastAsia="仿宋_GB2312"/>
                <w:b w:val="0"/>
                <w:color w:val="000000"/>
                <w:sz w:val="24"/>
                <w:szCs w:val="24"/>
              </w:rPr>
              <w:t>管理，</w:t>
            </w:r>
            <w:r>
              <w:rPr>
                <w:rFonts w:ascii="Times New Roman" w:hAnsi="Times New Roman" w:eastAsia="仿宋_GB2312"/>
                <w:b w:val="0"/>
                <w:snapToGrid w:val="0"/>
                <w:color w:val="000000"/>
                <w:kern w:val="0"/>
                <w:sz w:val="24"/>
                <w:szCs w:val="24"/>
              </w:rPr>
              <w:t>废物代码为900-047-49，委托有资质单位处置</w:t>
            </w:r>
            <w:r>
              <w:rPr>
                <w:rFonts w:ascii="Times New Roman" w:hAnsi="Times New Roman" w:eastAsia="仿宋_GB2312"/>
                <w:b w:val="0"/>
                <w:color w:val="000000"/>
                <w:sz w:val="24"/>
                <w:szCs w:val="24"/>
              </w:rPr>
              <w:t>。</w:t>
            </w:r>
          </w:p>
          <w:p>
            <w:pPr>
              <w:autoSpaceDE w:val="0"/>
              <w:autoSpaceDN w:val="0"/>
              <w:adjustRightInd w:val="0"/>
              <w:snapToGrid w:val="0"/>
              <w:spacing w:line="500" w:lineRule="exact"/>
              <w:ind w:left="48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h</w:t>
            </w:r>
            <w:r>
              <w:rPr>
                <w:rFonts w:ascii="Times New Roman" w:hAnsi="Times New Roman" w:eastAsia="仿宋_GB2312"/>
                <w:b w:val="0"/>
                <w:color w:val="000000"/>
                <w:sz w:val="24"/>
                <w:szCs w:val="24"/>
              </w:rPr>
              <w:t>、</w:t>
            </w:r>
            <w:r>
              <w:rPr>
                <w:rFonts w:hint="eastAsia" w:ascii="Times New Roman" w:hAnsi="Times New Roman" w:eastAsia="仿宋_GB2312"/>
                <w:b w:val="0"/>
                <w:color w:val="000000"/>
                <w:sz w:val="24"/>
                <w:szCs w:val="24"/>
              </w:rPr>
              <w:t>科研、检测废液及前两道清洗</w:t>
            </w:r>
            <w:r>
              <w:rPr>
                <w:rFonts w:ascii="Times New Roman" w:hAnsi="Times New Roman" w:eastAsia="仿宋_GB2312"/>
                <w:b w:val="0"/>
                <w:color w:val="000000"/>
                <w:sz w:val="24"/>
                <w:szCs w:val="24"/>
              </w:rPr>
              <w:t>废液</w:t>
            </w:r>
          </w:p>
          <w:p>
            <w:pPr>
              <w:autoSpaceDE w:val="0"/>
              <w:autoSpaceDN w:val="0"/>
              <w:adjustRightInd w:val="0"/>
              <w:snapToGrid w:val="0"/>
              <w:spacing w:line="500" w:lineRule="exact"/>
              <w:ind w:firstLine="480" w:firstLineChars="200"/>
              <w:rPr>
                <w:rFonts w:ascii="Times New Roman" w:hAnsi="Times New Roman" w:eastAsia="仿宋_GB2312"/>
                <w:b w:val="0"/>
                <w:snapToGrid w:val="0"/>
                <w:color w:val="000000"/>
                <w:kern w:val="0"/>
                <w:sz w:val="24"/>
                <w:szCs w:val="24"/>
              </w:rPr>
            </w:pPr>
            <w:r>
              <w:rPr>
                <w:rFonts w:hint="eastAsia" w:ascii="Times New Roman" w:hAnsi="Times New Roman" w:eastAsia="仿宋_GB2312"/>
                <w:b w:val="0"/>
                <w:color w:val="000000"/>
                <w:sz w:val="24"/>
                <w:szCs w:val="24"/>
              </w:rPr>
              <w:t>科研、</w:t>
            </w:r>
            <w:r>
              <w:rPr>
                <w:rFonts w:ascii="Times New Roman" w:hAnsi="Times New Roman" w:eastAsia="仿宋_GB2312"/>
                <w:b w:val="0"/>
                <w:color w:val="000000"/>
                <w:sz w:val="24"/>
                <w:szCs w:val="24"/>
              </w:rPr>
              <w:t>检测后产生废液约3.2t/a，清洗实验器具时产生</w:t>
            </w:r>
            <w:r>
              <w:rPr>
                <w:rFonts w:hint="eastAsia" w:ascii="Times New Roman" w:hAnsi="Times New Roman" w:eastAsia="仿宋_GB2312"/>
                <w:b w:val="0"/>
                <w:color w:val="000000"/>
                <w:sz w:val="24"/>
                <w:szCs w:val="24"/>
              </w:rPr>
              <w:t>前两道</w:t>
            </w:r>
            <w:r>
              <w:rPr>
                <w:rFonts w:ascii="Times New Roman" w:hAnsi="Times New Roman" w:eastAsia="仿宋_GB2312"/>
                <w:b w:val="0"/>
                <w:color w:val="000000"/>
                <w:sz w:val="24"/>
                <w:szCs w:val="24"/>
              </w:rPr>
              <w:t>清洗废水约6t/a，共计9.2t/a</w:t>
            </w:r>
            <w:r>
              <w:rPr>
                <w:rFonts w:hint="eastAsia" w:ascii="Times New Roman" w:hAnsi="Times New Roman" w:eastAsia="仿宋_GB2312"/>
                <w:b w:val="0"/>
                <w:color w:val="000000"/>
                <w:sz w:val="24"/>
                <w:szCs w:val="24"/>
              </w:rPr>
              <w:t>，其中含各类无机物、有机溶剂及微量重金属等</w:t>
            </w:r>
            <w:r>
              <w:rPr>
                <w:rFonts w:ascii="Times New Roman" w:hAnsi="Times New Roman" w:eastAsia="仿宋_GB2312"/>
                <w:b w:val="0"/>
                <w:color w:val="000000"/>
                <w:sz w:val="24"/>
                <w:szCs w:val="24"/>
              </w:rPr>
              <w:t>。</w:t>
            </w:r>
            <w:r>
              <w:rPr>
                <w:rFonts w:ascii="Times New Roman" w:hAnsi="Times New Roman" w:eastAsia="仿宋_GB2312"/>
                <w:b w:val="0"/>
                <w:snapToGrid w:val="0"/>
                <w:color w:val="000000"/>
                <w:kern w:val="0"/>
                <w:sz w:val="24"/>
                <w:szCs w:val="24"/>
              </w:rPr>
              <w:t>根据《国家危险废物名录》（2021年），实验废液属于HW49，废物代码为900-047-49，委托有资质单位处置。</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i</w:t>
            </w:r>
            <w:r>
              <w:rPr>
                <w:rFonts w:ascii="Times New Roman" w:hAnsi="Times New Roman" w:eastAsia="仿宋_GB2312"/>
                <w:b w:val="0"/>
                <w:color w:val="000000"/>
                <w:sz w:val="24"/>
                <w:szCs w:val="24"/>
              </w:rPr>
              <w:t>、过期化学品</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项目可能产生过期化学品，产生量按0.5t/a计。根据《国家危险废物名录》（2021年），废实验耗材属于HW49，废物代码为900-999-49，委托有资质单位处置。</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hint="eastAsia" w:ascii="Times New Roman" w:hAnsi="Times New Roman" w:eastAsia="仿宋_GB2312"/>
                <w:b w:val="0"/>
                <w:color w:val="000000"/>
                <w:sz w:val="24"/>
                <w:szCs w:val="24"/>
              </w:rPr>
              <w:t>j</w:t>
            </w:r>
            <w:r>
              <w:rPr>
                <w:rFonts w:ascii="Times New Roman" w:hAnsi="Times New Roman" w:eastAsia="仿宋_GB2312"/>
                <w:b w:val="0"/>
                <w:color w:val="000000"/>
                <w:sz w:val="24"/>
                <w:szCs w:val="24"/>
              </w:rPr>
              <w:t>、废活性炭</w:t>
            </w:r>
          </w:p>
          <w:p>
            <w:pPr>
              <w:pStyle w:val="19"/>
              <w:adjustRightInd w:val="0"/>
              <w:snapToGrid w:val="0"/>
              <w:spacing w:line="500" w:lineRule="exact"/>
              <w:ind w:firstLine="480" w:firstLineChars="200"/>
              <w:rPr>
                <w:rFonts w:ascii="Times New Roman" w:hAnsi="Times New Roman" w:eastAsia="仿宋_GB2312" w:cs="Times New Roman"/>
                <w:b w:val="0"/>
                <w:color w:val="000000"/>
                <w:sz w:val="24"/>
                <w:szCs w:val="24"/>
              </w:rPr>
            </w:pPr>
            <w:r>
              <w:rPr>
                <w:rFonts w:ascii="Times New Roman" w:hAnsi="Times New Roman" w:eastAsia="仿宋_GB2312" w:cs="Times New Roman"/>
                <w:b w:val="0"/>
                <w:color w:val="000000"/>
                <w:sz w:val="24"/>
                <w:szCs w:val="24"/>
              </w:rPr>
              <w:t>本项目共1</w:t>
            </w:r>
            <w:r>
              <w:rPr>
                <w:rFonts w:hint="eastAsia" w:ascii="Times New Roman" w:hAnsi="Times New Roman" w:eastAsia="仿宋_GB2312" w:cs="Times New Roman"/>
                <w:b w:val="0"/>
                <w:color w:val="000000"/>
                <w:sz w:val="24"/>
                <w:szCs w:val="24"/>
              </w:rPr>
              <w:t>套</w:t>
            </w:r>
            <w:r>
              <w:rPr>
                <w:rFonts w:ascii="Times New Roman" w:hAnsi="Times New Roman" w:eastAsia="仿宋_GB2312" w:cs="Times New Roman"/>
                <w:b w:val="0"/>
                <w:color w:val="000000"/>
                <w:sz w:val="24"/>
                <w:szCs w:val="24"/>
              </w:rPr>
              <w:t>活性炭装置，单次装填量为1.65t，每年更换一次，考虑活性炭更换时吸附的污染物及水气，以及活性炭包装等，项目废活性炭产生量按1.8t/a计。</w:t>
            </w:r>
            <w:r>
              <w:rPr>
                <w:rFonts w:ascii="Times New Roman" w:hAnsi="Times New Roman" w:eastAsia="仿宋_GB2312" w:cs="Times New Roman"/>
                <w:b w:val="0"/>
                <w:snapToGrid w:val="0"/>
                <w:color w:val="000000"/>
                <w:kern w:val="0"/>
                <w:sz w:val="24"/>
                <w:szCs w:val="24"/>
              </w:rPr>
              <w:t>根据《国家危险废物名录》（2021年），废气装置产生废活性炭属于HW49，废物代码为900-039-49，委托有资质单位处置</w:t>
            </w:r>
            <w:r>
              <w:rPr>
                <w:rFonts w:ascii="Times New Roman" w:hAnsi="Times New Roman" w:eastAsia="仿宋_GB2312" w:cs="Times New Roman"/>
                <w:b w:val="0"/>
                <w:color w:val="000000"/>
                <w:sz w:val="24"/>
                <w:szCs w:val="24"/>
              </w:rPr>
              <w:t>。</w:t>
            </w:r>
          </w:p>
          <w:p>
            <w:pPr>
              <w:pStyle w:val="19"/>
              <w:adjustRightInd w:val="0"/>
              <w:snapToGrid w:val="0"/>
              <w:spacing w:line="500" w:lineRule="exact"/>
              <w:ind w:firstLine="480" w:firstLineChars="200"/>
              <w:rPr>
                <w:rFonts w:ascii="Times New Roman" w:hAnsi="Times New Roman" w:eastAsia="仿宋_GB2312" w:cs="Times New Roman"/>
                <w:b w:val="0"/>
                <w:color w:val="000000"/>
                <w:sz w:val="24"/>
                <w:szCs w:val="24"/>
              </w:rPr>
            </w:pPr>
            <w:r>
              <w:rPr>
                <w:rFonts w:hint="eastAsia" w:ascii="Times New Roman" w:hAnsi="Times New Roman" w:eastAsia="仿宋_GB2312" w:cs="Times New Roman"/>
                <w:b w:val="0"/>
                <w:color w:val="000000"/>
                <w:sz w:val="24"/>
                <w:szCs w:val="24"/>
              </w:rPr>
              <w:t>k、藻类、斑马鱼尸体</w:t>
            </w:r>
          </w:p>
          <w:p>
            <w:pPr>
              <w:pStyle w:val="19"/>
              <w:adjustRightInd w:val="0"/>
              <w:snapToGrid w:val="0"/>
              <w:spacing w:line="500" w:lineRule="exact"/>
              <w:ind w:firstLine="480" w:firstLineChars="200"/>
              <w:rPr>
                <w:rFonts w:ascii="Times New Roman" w:hAnsi="Times New Roman" w:eastAsia="仿宋_GB2312" w:cs="Times New Roman"/>
                <w:b w:val="0"/>
                <w:snapToGrid w:val="0"/>
                <w:color w:val="000000"/>
                <w:kern w:val="0"/>
                <w:sz w:val="24"/>
                <w:szCs w:val="24"/>
              </w:rPr>
            </w:pPr>
            <w:r>
              <w:rPr>
                <w:rFonts w:hint="eastAsia" w:ascii="Times New Roman" w:hAnsi="Times New Roman" w:eastAsia="仿宋_GB2312" w:cs="Times New Roman"/>
                <w:b w:val="0"/>
                <w:color w:val="000000"/>
                <w:sz w:val="24"/>
                <w:szCs w:val="24"/>
              </w:rPr>
              <w:t>本项目科研实验研究藻毒素对斑马鱼的影响，此过程将产生0</w:t>
            </w:r>
            <w:r>
              <w:rPr>
                <w:rFonts w:ascii="Times New Roman" w:hAnsi="Times New Roman" w:eastAsia="仿宋_GB2312" w:cs="Times New Roman"/>
                <w:b w:val="0"/>
                <w:color w:val="000000"/>
                <w:sz w:val="24"/>
                <w:szCs w:val="24"/>
              </w:rPr>
              <w:t>.01</w:t>
            </w:r>
            <w:r>
              <w:rPr>
                <w:rFonts w:hint="eastAsia" w:ascii="Times New Roman" w:hAnsi="Times New Roman" w:eastAsia="仿宋_GB2312" w:cs="Times New Roman"/>
                <w:b w:val="0"/>
                <w:color w:val="000000"/>
                <w:sz w:val="24"/>
                <w:szCs w:val="24"/>
              </w:rPr>
              <w:t>t</w:t>
            </w:r>
            <w:r>
              <w:rPr>
                <w:rFonts w:ascii="Times New Roman" w:hAnsi="Times New Roman" w:eastAsia="仿宋_GB2312" w:cs="Times New Roman"/>
                <w:b w:val="0"/>
                <w:color w:val="000000"/>
                <w:sz w:val="24"/>
                <w:szCs w:val="24"/>
              </w:rPr>
              <w:t>/</w:t>
            </w:r>
            <w:r>
              <w:rPr>
                <w:rFonts w:hint="eastAsia" w:ascii="Times New Roman" w:hAnsi="Times New Roman" w:eastAsia="仿宋_GB2312" w:cs="Times New Roman"/>
                <w:b w:val="0"/>
                <w:color w:val="000000"/>
                <w:sz w:val="24"/>
                <w:szCs w:val="24"/>
              </w:rPr>
              <w:t>a的藻类及斑马鱼尸体。依据《实验动物管理条例》第三十一条的规定，藻类及斑马鱼尸体应装入专用尸体袋中存放于尸体冷藏柜(间)或冰柜内，集中作无害化处理。</w:t>
            </w:r>
          </w:p>
          <w:p>
            <w:pPr>
              <w:autoSpaceDE w:val="0"/>
              <w:autoSpaceDN w:val="0"/>
              <w:adjustRightInd w:val="0"/>
              <w:snapToGrid w:val="0"/>
              <w:spacing w:line="50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以上各类固体废弃物妥善处理后，对外环境造成影响较小。</w:t>
            </w:r>
          </w:p>
          <w:p>
            <w:pPr>
              <w:autoSpaceDE w:val="0"/>
              <w:autoSpaceDN w:val="0"/>
              <w:adjustRightInd w:val="0"/>
              <w:snapToGrid w:val="0"/>
              <w:spacing w:line="500" w:lineRule="exact"/>
              <w:ind w:firstLine="480" w:firstLineChars="200"/>
              <w:rPr>
                <w:rFonts w:ascii="Times New Roman" w:hAnsi="Times New Roman" w:eastAsia="仿宋_GB2312"/>
                <w:b w:val="0"/>
                <w:bCs/>
                <w:color w:val="000000"/>
                <w:sz w:val="24"/>
                <w:szCs w:val="24"/>
              </w:rPr>
            </w:pPr>
            <w:r>
              <w:rPr>
                <w:rFonts w:ascii="Times New Roman" w:hAnsi="Times New Roman" w:eastAsia="仿宋_GB2312"/>
                <w:b w:val="0"/>
                <w:color w:val="000000"/>
                <w:sz w:val="24"/>
                <w:szCs w:val="24"/>
              </w:rPr>
              <w:t>根据《中华人民共和国固体废物污染环境防治法》、《固体废物鉴别标准 通则》（GB34330-2017），对建设项目产生的废弃物质，依据产生来源、利用和处置过程鉴别属于固体废物并且作为固体废物管理的物质，应按照《国家危险废物名录》（2021年）进行属性判定，项目产生的副产物情况汇总表见表5-7。</w:t>
            </w:r>
          </w:p>
          <w:p>
            <w:pPr>
              <w:autoSpaceDE w:val="0"/>
              <w:autoSpaceDN w:val="0"/>
              <w:adjustRightInd w:val="0"/>
              <w:snapToGrid w:val="0"/>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表5-7 建设项目固体废物产生情况汇总表</w:t>
            </w:r>
          </w:p>
          <w:tbl>
            <w:tblPr>
              <w:tblStyle w:val="38"/>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1344"/>
              <w:gridCol w:w="950"/>
              <w:gridCol w:w="523"/>
              <w:gridCol w:w="1270"/>
              <w:gridCol w:w="818"/>
              <w:gridCol w:w="536"/>
              <w:gridCol w:w="475"/>
              <w:gridCol w:w="1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89" w:type="pct"/>
                  <w:vMerge w:val="restart"/>
                  <w:vAlign w:val="center"/>
                </w:tcPr>
                <w:p>
                  <w:pPr>
                    <w:adjustRightInd w:val="0"/>
                    <w:snapToGrid w:val="0"/>
                    <w:jc w:val="center"/>
                    <w:rPr>
                      <w:rFonts w:ascii="Times New Roman" w:hAnsi="Times New Roman" w:eastAsia="仿宋_GB2312"/>
                      <w:b/>
                      <w:color w:val="000000"/>
                      <w:szCs w:val="21"/>
                    </w:rPr>
                  </w:pPr>
                  <w:bookmarkStart w:id="14" w:name="_Hlk37337783"/>
                  <w:r>
                    <w:rPr>
                      <w:rFonts w:ascii="Times New Roman" w:hAnsi="Times New Roman" w:eastAsia="仿宋_GB2312"/>
                      <w:b/>
                      <w:color w:val="000000"/>
                      <w:szCs w:val="21"/>
                    </w:rPr>
                    <w:t>序</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号</w:t>
                  </w:r>
                </w:p>
              </w:tc>
              <w:tc>
                <w:tcPr>
                  <w:tcW w:w="880" w:type="pct"/>
                  <w:vMerge w:val="restar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名称</w:t>
                  </w:r>
                </w:p>
              </w:tc>
              <w:tc>
                <w:tcPr>
                  <w:tcW w:w="625" w:type="pct"/>
                  <w:vMerge w:val="restar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产生</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工序</w:t>
                  </w:r>
                </w:p>
              </w:tc>
              <w:tc>
                <w:tcPr>
                  <w:tcW w:w="357" w:type="pct"/>
                  <w:vMerge w:val="restar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形态</w:t>
                  </w:r>
                </w:p>
              </w:tc>
              <w:tc>
                <w:tcPr>
                  <w:tcW w:w="826" w:type="pct"/>
                  <w:vMerge w:val="restar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主要成分</w:t>
                  </w:r>
                </w:p>
              </w:tc>
              <w:tc>
                <w:tcPr>
                  <w:tcW w:w="542" w:type="pct"/>
                  <w:vMerge w:val="restar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预测产生量（t/a）</w:t>
                  </w:r>
                </w:p>
              </w:tc>
              <w:tc>
                <w:tcPr>
                  <w:tcW w:w="1580" w:type="pct"/>
                  <w:gridSpan w:val="3"/>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3" w:hRule="atLeast"/>
                <w:jc w:val="center"/>
              </w:trPr>
              <w:tc>
                <w:tcPr>
                  <w:tcW w:w="189" w:type="pct"/>
                  <w:vMerge w:val="continue"/>
                  <w:vAlign w:val="center"/>
                </w:tcPr>
                <w:p>
                  <w:pPr>
                    <w:adjustRightInd w:val="0"/>
                    <w:snapToGrid w:val="0"/>
                    <w:jc w:val="center"/>
                    <w:rPr>
                      <w:rFonts w:ascii="Times New Roman" w:hAnsi="Times New Roman" w:eastAsia="仿宋_GB2312"/>
                      <w:b/>
                      <w:color w:val="000000"/>
                      <w:szCs w:val="21"/>
                    </w:rPr>
                  </w:pPr>
                </w:p>
              </w:tc>
              <w:tc>
                <w:tcPr>
                  <w:tcW w:w="880" w:type="pct"/>
                  <w:vMerge w:val="continue"/>
                  <w:vAlign w:val="center"/>
                </w:tcPr>
                <w:p>
                  <w:pPr>
                    <w:adjustRightInd w:val="0"/>
                    <w:snapToGrid w:val="0"/>
                    <w:jc w:val="center"/>
                    <w:rPr>
                      <w:rFonts w:ascii="Times New Roman" w:hAnsi="Times New Roman" w:eastAsia="仿宋_GB2312"/>
                      <w:b/>
                      <w:color w:val="000000"/>
                      <w:szCs w:val="21"/>
                    </w:rPr>
                  </w:pPr>
                </w:p>
              </w:tc>
              <w:tc>
                <w:tcPr>
                  <w:tcW w:w="625" w:type="pct"/>
                  <w:vMerge w:val="continue"/>
                  <w:vAlign w:val="center"/>
                </w:tcPr>
                <w:p>
                  <w:pPr>
                    <w:adjustRightInd w:val="0"/>
                    <w:snapToGrid w:val="0"/>
                    <w:jc w:val="center"/>
                    <w:rPr>
                      <w:rFonts w:ascii="Times New Roman" w:hAnsi="Times New Roman" w:eastAsia="仿宋_GB2312"/>
                      <w:b/>
                      <w:color w:val="000000"/>
                      <w:szCs w:val="21"/>
                    </w:rPr>
                  </w:pPr>
                </w:p>
              </w:tc>
              <w:tc>
                <w:tcPr>
                  <w:tcW w:w="357" w:type="pct"/>
                  <w:vMerge w:val="continue"/>
                  <w:vAlign w:val="center"/>
                </w:tcPr>
                <w:p>
                  <w:pPr>
                    <w:adjustRightInd w:val="0"/>
                    <w:snapToGrid w:val="0"/>
                    <w:jc w:val="center"/>
                    <w:rPr>
                      <w:rFonts w:ascii="Times New Roman" w:hAnsi="Times New Roman" w:eastAsia="仿宋_GB2312"/>
                      <w:b/>
                      <w:color w:val="000000"/>
                      <w:szCs w:val="21"/>
                    </w:rPr>
                  </w:pPr>
                </w:p>
              </w:tc>
              <w:tc>
                <w:tcPr>
                  <w:tcW w:w="826" w:type="pct"/>
                  <w:vMerge w:val="continue"/>
                  <w:vAlign w:val="center"/>
                </w:tcPr>
                <w:p>
                  <w:pPr>
                    <w:adjustRightInd w:val="0"/>
                    <w:snapToGrid w:val="0"/>
                    <w:jc w:val="center"/>
                    <w:rPr>
                      <w:rFonts w:ascii="Times New Roman" w:hAnsi="Times New Roman" w:eastAsia="仿宋_GB2312"/>
                      <w:b/>
                      <w:color w:val="000000"/>
                      <w:szCs w:val="21"/>
                    </w:rPr>
                  </w:pPr>
                </w:p>
              </w:tc>
              <w:tc>
                <w:tcPr>
                  <w:tcW w:w="542" w:type="pct"/>
                  <w:vMerge w:val="continue"/>
                  <w:vAlign w:val="center"/>
                </w:tcPr>
                <w:p>
                  <w:pPr>
                    <w:adjustRightInd w:val="0"/>
                    <w:snapToGrid w:val="0"/>
                    <w:jc w:val="center"/>
                    <w:rPr>
                      <w:rFonts w:ascii="Times New Roman" w:hAnsi="Times New Roman" w:eastAsia="仿宋_GB2312"/>
                      <w:b/>
                      <w:color w:val="000000"/>
                      <w:szCs w:val="21"/>
                    </w:rPr>
                  </w:pPr>
                </w:p>
              </w:tc>
              <w:tc>
                <w:tcPr>
                  <w:tcW w:w="365"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固体</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废物</w:t>
                  </w:r>
                </w:p>
              </w:tc>
              <w:tc>
                <w:tcPr>
                  <w:tcW w:w="327"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副产品</w:t>
                  </w:r>
                </w:p>
              </w:tc>
              <w:tc>
                <w:tcPr>
                  <w:tcW w:w="888" w:type="pct"/>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判定</w:t>
                  </w:r>
                </w:p>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生活垃圾</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办公生活</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生活垃圾</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3.375</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restar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《固体废物鉴别标准 通则》（GB34330-2017）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反渗透</w:t>
                  </w:r>
                  <w:r>
                    <w:rPr>
                      <w:rFonts w:ascii="Times New Roman" w:hAnsi="Times New Roman" w:eastAsia="仿宋_GB2312"/>
                      <w:color w:val="000000"/>
                      <w:szCs w:val="21"/>
                    </w:rPr>
                    <w:t>膜</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纯水制备</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反渗透</w:t>
                  </w:r>
                  <w:r>
                    <w:rPr>
                      <w:rFonts w:ascii="Times New Roman" w:hAnsi="Times New Roman" w:eastAsia="仿宋_GB2312"/>
                      <w:color w:val="000000"/>
                      <w:szCs w:val="21"/>
                    </w:rPr>
                    <w:t>膜</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玻璃器皿等耗材</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检测</w:t>
                  </w:r>
                  <w:r>
                    <w:rPr>
                      <w:rFonts w:hint="eastAsia" w:ascii="Times New Roman" w:hAnsi="Times New Roman" w:eastAsia="仿宋_GB2312"/>
                      <w:color w:val="000000"/>
                      <w:szCs w:val="21"/>
                    </w:rPr>
                    <w:t>、科研</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塑料、玻璃等</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4</w:t>
                  </w:r>
                </w:p>
              </w:tc>
              <w:tc>
                <w:tcPr>
                  <w:tcW w:w="880"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废试剂瓶</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检测</w:t>
                  </w:r>
                  <w:r>
                    <w:rPr>
                      <w:rFonts w:hint="eastAsia" w:ascii="Times New Roman" w:hAnsi="Times New Roman" w:eastAsia="仿宋_GB2312"/>
                      <w:color w:val="000000"/>
                      <w:szCs w:val="21"/>
                    </w:rPr>
                    <w:t>、科研</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玻璃、无机、有机溶剂残留</w:t>
                  </w:r>
                </w:p>
              </w:tc>
              <w:tc>
                <w:tcPr>
                  <w:tcW w:w="542"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.8</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5</w:t>
                  </w:r>
                </w:p>
              </w:tc>
              <w:tc>
                <w:tcPr>
                  <w:tcW w:w="880"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废药剂包装</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检测</w:t>
                  </w:r>
                  <w:r>
                    <w:rPr>
                      <w:rFonts w:hint="eastAsia" w:ascii="Times New Roman" w:hAnsi="Times New Roman" w:eastAsia="仿宋_GB2312"/>
                      <w:color w:val="000000"/>
                      <w:szCs w:val="21"/>
                    </w:rPr>
                    <w:t>、科研</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塑料等</w:t>
                  </w:r>
                </w:p>
              </w:tc>
              <w:tc>
                <w:tcPr>
                  <w:tcW w:w="542"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.2</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6</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废固体样品</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检测</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固废、土壤</w:t>
                  </w:r>
                  <w:r>
                    <w:rPr>
                      <w:rFonts w:hint="eastAsia" w:ascii="Times New Roman" w:hAnsi="Times New Roman" w:eastAsia="仿宋_GB2312"/>
                      <w:color w:val="000000"/>
                      <w:szCs w:val="21"/>
                    </w:rPr>
                    <w:t>、</w:t>
                  </w:r>
                  <w:r>
                    <w:rPr>
                      <w:rFonts w:ascii="Times New Roman" w:hAnsi="Times New Roman" w:eastAsia="仿宋_GB2312"/>
                      <w:color w:val="000000"/>
                      <w:szCs w:val="21"/>
                    </w:rPr>
                    <w:t>等样品</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4.0</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7</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液体</w:t>
                  </w:r>
                  <w:r>
                    <w:rPr>
                      <w:rFonts w:ascii="Times New Roman" w:hAnsi="Times New Roman" w:eastAsia="仿宋_GB2312"/>
                      <w:color w:val="000000"/>
                      <w:szCs w:val="21"/>
                    </w:rPr>
                    <w:t>样品</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检测</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液态</w:t>
                  </w:r>
                </w:p>
              </w:tc>
              <w:tc>
                <w:tcPr>
                  <w:tcW w:w="82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水样</w:t>
                  </w:r>
                </w:p>
              </w:tc>
              <w:tc>
                <w:tcPr>
                  <w:tcW w:w="542"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2</w:t>
                  </w:r>
                  <w:r>
                    <w:rPr>
                      <w:rFonts w:ascii="Times New Roman" w:hAnsi="Times New Roman" w:eastAsia="仿宋_GB2312"/>
                      <w:color w:val="000000"/>
                      <w:szCs w:val="21"/>
                    </w:rPr>
                    <w:t>.0</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8</w:t>
                  </w:r>
                </w:p>
              </w:tc>
              <w:tc>
                <w:tcPr>
                  <w:tcW w:w="880"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科研、检测废液及前两道清洗废液</w:t>
                  </w:r>
                </w:p>
              </w:tc>
              <w:tc>
                <w:tcPr>
                  <w:tcW w:w="625"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w:t>
                  </w:r>
                  <w:r>
                    <w:rPr>
                      <w:rFonts w:ascii="Times New Roman" w:hAnsi="Times New Roman" w:eastAsia="仿宋_GB2312"/>
                      <w:color w:val="000000"/>
                      <w:szCs w:val="21"/>
                    </w:rPr>
                    <w:t>检测</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液态</w:t>
                  </w:r>
                </w:p>
              </w:tc>
              <w:tc>
                <w:tcPr>
                  <w:tcW w:w="82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水、试剂、</w:t>
                  </w:r>
                  <w:r>
                    <w:rPr>
                      <w:rFonts w:hint="eastAsia" w:ascii="Times New Roman" w:hAnsi="Times New Roman" w:eastAsia="仿宋_GB2312"/>
                      <w:color w:val="000000"/>
                      <w:szCs w:val="21"/>
                    </w:rPr>
                    <w:t>标样等</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3.2</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9</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过期化学品</w:t>
                  </w:r>
                </w:p>
              </w:tc>
              <w:tc>
                <w:tcPr>
                  <w:tcW w:w="625"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科研检测</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w:t>
                  </w:r>
                  <w:r>
                    <w:rPr>
                      <w:rFonts w:hint="eastAsia" w:ascii="Times New Roman" w:hAnsi="Times New Roman" w:eastAsia="仿宋_GB2312"/>
                      <w:color w:val="000000"/>
                      <w:szCs w:val="21"/>
                    </w:rPr>
                    <w:t>、液</w:t>
                  </w:r>
                  <w:r>
                    <w:rPr>
                      <w:rFonts w:ascii="Times New Roman" w:hAnsi="Times New Roman" w:eastAsia="仿宋_GB2312"/>
                      <w:color w:val="000000"/>
                      <w:szCs w:val="21"/>
                    </w:rPr>
                    <w:t>态</w:t>
                  </w:r>
                </w:p>
              </w:tc>
              <w:tc>
                <w:tcPr>
                  <w:tcW w:w="82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过期化学品</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0.5</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w:t>
                  </w:r>
                </w:p>
              </w:tc>
              <w:tc>
                <w:tcPr>
                  <w:tcW w:w="880"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废活性炭</w:t>
                  </w:r>
                </w:p>
              </w:tc>
              <w:tc>
                <w:tcPr>
                  <w:tcW w:w="62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废气处理</w:t>
                  </w:r>
                </w:p>
              </w:tc>
              <w:tc>
                <w:tcPr>
                  <w:tcW w:w="3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活性炭</w:t>
                  </w:r>
                </w:p>
              </w:tc>
              <w:tc>
                <w:tcPr>
                  <w:tcW w:w="542"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1.8</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Merge w:val="continue"/>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4" w:hRule="atLeast"/>
                <w:jc w:val="center"/>
              </w:trPr>
              <w:tc>
                <w:tcPr>
                  <w:tcW w:w="189"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1</w:t>
                  </w:r>
                  <w:r>
                    <w:rPr>
                      <w:rFonts w:ascii="Times New Roman" w:hAnsi="Times New Roman" w:eastAsia="仿宋_GB2312"/>
                      <w:color w:val="000000"/>
                      <w:szCs w:val="21"/>
                    </w:rPr>
                    <w:t>1</w:t>
                  </w:r>
                </w:p>
              </w:tc>
              <w:tc>
                <w:tcPr>
                  <w:tcW w:w="880"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藻类及斑马鱼尸体</w:t>
                  </w:r>
                </w:p>
              </w:tc>
              <w:tc>
                <w:tcPr>
                  <w:tcW w:w="625"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科研实验</w:t>
                  </w:r>
                </w:p>
              </w:tc>
              <w:tc>
                <w:tcPr>
                  <w:tcW w:w="357"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固态</w:t>
                  </w:r>
                </w:p>
              </w:tc>
              <w:tc>
                <w:tcPr>
                  <w:tcW w:w="826"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动植物尸体</w:t>
                  </w:r>
                </w:p>
              </w:tc>
              <w:tc>
                <w:tcPr>
                  <w:tcW w:w="542"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.01</w:t>
                  </w:r>
                </w:p>
              </w:tc>
              <w:tc>
                <w:tcPr>
                  <w:tcW w:w="365"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32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c>
                <w:tcPr>
                  <w:tcW w:w="888" w:type="pct"/>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w:t>
                  </w:r>
                </w:p>
              </w:tc>
            </w:tr>
            <w:bookmarkEnd w:id="14"/>
          </w:tbl>
          <w:p>
            <w:pPr>
              <w:autoSpaceDE w:val="0"/>
              <w:autoSpaceDN w:val="0"/>
              <w:adjustRightInd w:val="0"/>
              <w:snapToGrid w:val="0"/>
              <w:spacing w:line="48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color w:val="000000"/>
                <w:sz w:val="24"/>
                <w:szCs w:val="24"/>
              </w:rPr>
              <w:t>项目固体废物分析结果汇总见表5-8，危险废物汇总见表5-9。</w:t>
            </w:r>
          </w:p>
          <w:p>
            <w:pPr>
              <w:autoSpaceDE w:val="0"/>
              <w:autoSpaceDN w:val="0"/>
              <w:adjustRightInd w:val="0"/>
              <w:snapToGrid w:val="0"/>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 xml:space="preserve">表5-8 </w:t>
            </w:r>
            <w:r>
              <w:rPr>
                <w:rFonts w:hint="eastAsia" w:ascii="Times New Roman" w:hAnsi="Times New Roman" w:eastAsia="仿宋_GB2312"/>
                <w:b/>
                <w:bCs/>
                <w:color w:val="000000"/>
                <w:sz w:val="24"/>
                <w:szCs w:val="24"/>
              </w:rPr>
              <w:t>营运期</w:t>
            </w:r>
            <w:r>
              <w:rPr>
                <w:rFonts w:ascii="Times New Roman" w:hAnsi="Times New Roman" w:eastAsia="仿宋_GB2312"/>
                <w:b/>
                <w:bCs/>
                <w:color w:val="000000"/>
                <w:sz w:val="24"/>
                <w:szCs w:val="24"/>
              </w:rPr>
              <w:t>固体废物分析结果汇总表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5"/>
              <w:gridCol w:w="1082"/>
              <w:gridCol w:w="440"/>
              <w:gridCol w:w="600"/>
              <w:gridCol w:w="608"/>
              <w:gridCol w:w="958"/>
              <w:gridCol w:w="948"/>
              <w:gridCol w:w="771"/>
              <w:gridCol w:w="550"/>
              <w:gridCol w:w="954"/>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序号</w:t>
                  </w:r>
                </w:p>
              </w:tc>
              <w:tc>
                <w:tcPr>
                  <w:tcW w:w="669"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固废名称</w:t>
                  </w:r>
                </w:p>
              </w:tc>
              <w:tc>
                <w:tcPr>
                  <w:tcW w:w="272"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属性</w:t>
                  </w:r>
                </w:p>
              </w:tc>
              <w:tc>
                <w:tcPr>
                  <w:tcW w:w="371"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产生</w:t>
                  </w:r>
                </w:p>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工序</w:t>
                  </w:r>
                </w:p>
              </w:tc>
              <w:tc>
                <w:tcPr>
                  <w:tcW w:w="376"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形态</w:t>
                  </w:r>
                </w:p>
              </w:tc>
              <w:tc>
                <w:tcPr>
                  <w:tcW w:w="592"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主要</w:t>
                  </w:r>
                </w:p>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成分</w:t>
                  </w:r>
                </w:p>
              </w:tc>
              <w:tc>
                <w:tcPr>
                  <w:tcW w:w="586"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危险特性</w:t>
                  </w:r>
                </w:p>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鉴别方法</w:t>
                  </w:r>
                </w:p>
              </w:tc>
              <w:tc>
                <w:tcPr>
                  <w:tcW w:w="477"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危险</w:t>
                  </w:r>
                </w:p>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特性</w:t>
                  </w:r>
                </w:p>
              </w:tc>
              <w:tc>
                <w:tcPr>
                  <w:tcW w:w="340" w:type="pct"/>
                  <w:vAlign w:val="center"/>
                </w:tcPr>
                <w:p>
                  <w:pPr>
                    <w:adjustRightInd w:val="0"/>
                    <w:snapToGrid w:val="0"/>
                    <w:jc w:val="center"/>
                    <w:rPr>
                      <w:rFonts w:ascii="Times New Roman" w:hAnsi="Times New Roman" w:eastAsia="仿宋_GB2312"/>
                      <w:b/>
                      <w:color w:val="000000"/>
                      <w:sz w:val="18"/>
                      <w:szCs w:val="18"/>
                    </w:rPr>
                  </w:pPr>
                  <w:r>
                    <w:rPr>
                      <w:rFonts w:hint="eastAsia" w:ascii="Times New Roman" w:hAnsi="Times New Roman" w:eastAsia="仿宋_GB2312"/>
                      <w:b/>
                      <w:color w:val="000000"/>
                      <w:sz w:val="18"/>
                      <w:szCs w:val="18"/>
                    </w:rPr>
                    <w:t>废物</w:t>
                  </w:r>
                </w:p>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类别</w:t>
                  </w:r>
                </w:p>
              </w:tc>
              <w:tc>
                <w:tcPr>
                  <w:tcW w:w="590" w:type="pct"/>
                  <w:vAlign w:val="center"/>
                </w:tcPr>
                <w:p>
                  <w:pPr>
                    <w:adjustRightInd w:val="0"/>
                    <w:snapToGrid w:val="0"/>
                    <w:jc w:val="center"/>
                    <w:rPr>
                      <w:rFonts w:ascii="Times New Roman" w:hAnsi="Times New Roman" w:eastAsia="仿宋_GB2312"/>
                      <w:b/>
                      <w:color w:val="000000"/>
                      <w:sz w:val="18"/>
                      <w:szCs w:val="18"/>
                    </w:rPr>
                  </w:pPr>
                  <w:r>
                    <w:rPr>
                      <w:rFonts w:hint="eastAsia" w:ascii="Times New Roman" w:hAnsi="Times New Roman" w:eastAsia="仿宋_GB2312"/>
                      <w:b/>
                      <w:color w:val="000000"/>
                      <w:sz w:val="18"/>
                      <w:szCs w:val="18"/>
                    </w:rPr>
                    <w:t>废物</w:t>
                  </w:r>
                </w:p>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代码</w:t>
                  </w:r>
                </w:p>
              </w:tc>
              <w:tc>
                <w:tcPr>
                  <w:tcW w:w="489" w:type="pct"/>
                  <w:vAlign w:val="center"/>
                </w:tcPr>
                <w:p>
                  <w:pPr>
                    <w:adjustRightInd w:val="0"/>
                    <w:snapToGrid w:val="0"/>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估算产生量（t/a）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w:t>
                  </w:r>
                </w:p>
              </w:tc>
              <w:tc>
                <w:tcPr>
                  <w:tcW w:w="66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生活垃圾</w:t>
                  </w:r>
                </w:p>
              </w:tc>
              <w:tc>
                <w:tcPr>
                  <w:tcW w:w="27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生活垃圾</w:t>
                  </w:r>
                </w:p>
              </w:tc>
              <w:tc>
                <w:tcPr>
                  <w:tcW w:w="371"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办公生活</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生活垃圾</w:t>
                  </w:r>
                </w:p>
              </w:tc>
              <w:tc>
                <w:tcPr>
                  <w:tcW w:w="586" w:type="pct"/>
                  <w:vMerge w:val="restart"/>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w:t>
                  </w:r>
                </w:p>
              </w:tc>
              <w:tc>
                <w:tcPr>
                  <w:tcW w:w="66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w:t>
                  </w:r>
                  <w:r>
                    <w:rPr>
                      <w:rFonts w:hint="eastAsia" w:ascii="Times New Roman" w:hAnsi="Times New Roman" w:eastAsia="仿宋_GB2312"/>
                      <w:color w:val="000000"/>
                      <w:sz w:val="18"/>
                      <w:szCs w:val="18"/>
                    </w:rPr>
                    <w:t>反渗透</w:t>
                  </w:r>
                  <w:r>
                    <w:rPr>
                      <w:rFonts w:ascii="Times New Roman" w:hAnsi="Times New Roman" w:eastAsia="仿宋_GB2312"/>
                      <w:color w:val="000000"/>
                      <w:sz w:val="18"/>
                      <w:szCs w:val="18"/>
                    </w:rPr>
                    <w:t>膜</w:t>
                  </w:r>
                </w:p>
              </w:tc>
              <w:tc>
                <w:tcPr>
                  <w:tcW w:w="27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一般固废</w:t>
                  </w:r>
                </w:p>
              </w:tc>
              <w:tc>
                <w:tcPr>
                  <w:tcW w:w="371"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纯水制备</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反渗透</w:t>
                  </w:r>
                  <w:r>
                    <w:rPr>
                      <w:rFonts w:ascii="Times New Roman" w:hAnsi="Times New Roman" w:eastAsia="仿宋_GB2312"/>
                      <w:color w:val="000000"/>
                      <w:sz w:val="18"/>
                      <w:szCs w:val="18"/>
                    </w:rPr>
                    <w:t>膜</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99</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w:t>
                  </w:r>
                </w:p>
              </w:tc>
              <w:tc>
                <w:tcPr>
                  <w:tcW w:w="66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废玻璃器皿等耗材</w:t>
                  </w:r>
                </w:p>
              </w:tc>
              <w:tc>
                <w:tcPr>
                  <w:tcW w:w="272" w:type="pct"/>
                  <w:vMerge w:val="restar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危险废物</w:t>
                  </w: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检测，科研</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塑料、玻璃等</w:t>
                  </w:r>
                </w:p>
              </w:tc>
              <w:tc>
                <w:tcPr>
                  <w:tcW w:w="586" w:type="pct"/>
                  <w:vMerge w:val="restar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《国家危</w:t>
                  </w:r>
                </w:p>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险废物名</w:t>
                  </w:r>
                </w:p>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录》（2021版）</w:t>
                  </w: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4</w:t>
                  </w:r>
                </w:p>
              </w:tc>
              <w:tc>
                <w:tcPr>
                  <w:tcW w:w="66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废试剂瓶</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检测、科研</w:t>
                  </w:r>
                </w:p>
              </w:tc>
              <w:tc>
                <w:tcPr>
                  <w:tcW w:w="376"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玻璃、无机、有机溶剂残留</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T/C/I/R</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8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66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废药剂包装</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检测、科研</w:t>
                  </w:r>
                </w:p>
              </w:tc>
              <w:tc>
                <w:tcPr>
                  <w:tcW w:w="376"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塑料等</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8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6</w:t>
                  </w:r>
                </w:p>
              </w:tc>
              <w:tc>
                <w:tcPr>
                  <w:tcW w:w="66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废固体样品</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固废、土壤等样品</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7</w:t>
                  </w:r>
                </w:p>
              </w:tc>
              <w:tc>
                <w:tcPr>
                  <w:tcW w:w="66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w:t>
                  </w:r>
                  <w:r>
                    <w:rPr>
                      <w:rFonts w:hint="eastAsia" w:ascii="Times New Roman" w:hAnsi="Times New Roman" w:eastAsia="仿宋_GB2312"/>
                      <w:color w:val="000000"/>
                      <w:sz w:val="18"/>
                      <w:szCs w:val="18"/>
                    </w:rPr>
                    <w:t>液体</w:t>
                  </w:r>
                  <w:r>
                    <w:rPr>
                      <w:rFonts w:ascii="Times New Roman" w:hAnsi="Times New Roman" w:eastAsia="仿宋_GB2312"/>
                      <w:color w:val="000000"/>
                      <w:sz w:val="18"/>
                      <w:szCs w:val="18"/>
                    </w:rPr>
                    <w:t>样品</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w:t>
                  </w:r>
                </w:p>
              </w:tc>
              <w:tc>
                <w:tcPr>
                  <w:tcW w:w="376"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液</w:t>
                  </w:r>
                  <w:r>
                    <w:rPr>
                      <w:rFonts w:ascii="Times New Roman" w:hAnsi="Times New Roman" w:eastAsia="仿宋_GB2312"/>
                      <w:color w:val="000000"/>
                      <w:sz w:val="18"/>
                      <w:szCs w:val="18"/>
                    </w:rPr>
                    <w:t>态</w:t>
                  </w:r>
                </w:p>
              </w:tc>
              <w:tc>
                <w:tcPr>
                  <w:tcW w:w="592"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水样</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8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8</w:t>
                  </w:r>
                </w:p>
              </w:tc>
              <w:tc>
                <w:tcPr>
                  <w:tcW w:w="66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科研、检测废液及前两道清洗废液</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液态</w:t>
                  </w:r>
                </w:p>
              </w:tc>
              <w:tc>
                <w:tcPr>
                  <w:tcW w:w="59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水、试剂、</w:t>
                  </w:r>
                  <w:r>
                    <w:rPr>
                      <w:rFonts w:hint="eastAsia" w:ascii="Times New Roman" w:hAnsi="Times New Roman" w:eastAsia="仿宋_GB2312"/>
                      <w:color w:val="000000"/>
                      <w:sz w:val="18"/>
                      <w:szCs w:val="18"/>
                    </w:rPr>
                    <w:t>标样等</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T/C/R</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w:t>
                  </w:r>
                </w:p>
              </w:tc>
              <w:tc>
                <w:tcPr>
                  <w:tcW w:w="66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过期化学品</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w:t>
                  </w:r>
                  <w:r>
                    <w:rPr>
                      <w:rFonts w:hint="eastAsia" w:ascii="Times New Roman" w:hAnsi="Times New Roman" w:eastAsia="仿宋_GB2312"/>
                      <w:color w:val="000000"/>
                      <w:sz w:val="18"/>
                      <w:szCs w:val="18"/>
                    </w:rPr>
                    <w:t>、液</w:t>
                  </w:r>
                  <w:r>
                    <w:rPr>
                      <w:rFonts w:ascii="Times New Roman" w:hAnsi="Times New Roman" w:eastAsia="仿宋_GB2312"/>
                      <w:color w:val="000000"/>
                      <w:sz w:val="18"/>
                      <w:szCs w:val="18"/>
                    </w:rPr>
                    <w:t>态</w:t>
                  </w:r>
                </w:p>
              </w:tc>
              <w:tc>
                <w:tcPr>
                  <w:tcW w:w="59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过期化学品</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T/C/I/R</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900-999-49</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w:t>
                  </w:r>
                </w:p>
              </w:tc>
              <w:tc>
                <w:tcPr>
                  <w:tcW w:w="66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废活性炭</w:t>
                  </w:r>
                </w:p>
              </w:tc>
              <w:tc>
                <w:tcPr>
                  <w:tcW w:w="272" w:type="pct"/>
                  <w:vMerge w:val="continue"/>
                  <w:vAlign w:val="center"/>
                </w:tcPr>
                <w:p>
                  <w:pPr>
                    <w:jc w:val="center"/>
                    <w:rPr>
                      <w:rFonts w:ascii="Times New Roman" w:hAnsi="Times New Roman" w:eastAsia="仿宋_GB2312"/>
                      <w:color w:val="000000"/>
                      <w:sz w:val="18"/>
                      <w:szCs w:val="18"/>
                    </w:rPr>
                  </w:pPr>
                </w:p>
              </w:tc>
              <w:tc>
                <w:tcPr>
                  <w:tcW w:w="371"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废气处理</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活性炭</w:t>
                  </w:r>
                </w:p>
              </w:tc>
              <w:tc>
                <w:tcPr>
                  <w:tcW w:w="586" w:type="pct"/>
                  <w:vMerge w:val="continue"/>
                  <w:vAlign w:val="center"/>
                </w:tcPr>
                <w:p>
                  <w:pPr>
                    <w:jc w:val="center"/>
                    <w:rPr>
                      <w:rFonts w:ascii="Times New Roman" w:hAnsi="Times New Roman" w:eastAsia="仿宋_GB2312"/>
                      <w:color w:val="000000"/>
                      <w:sz w:val="18"/>
                      <w:szCs w:val="18"/>
                    </w:rPr>
                  </w:pP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HW49</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900-039-49</w:t>
                  </w:r>
                </w:p>
              </w:tc>
              <w:tc>
                <w:tcPr>
                  <w:tcW w:w="489"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38"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r>
                    <w:rPr>
                      <w:rFonts w:ascii="Times New Roman" w:hAnsi="Times New Roman" w:eastAsia="仿宋_GB2312"/>
                      <w:color w:val="000000"/>
                      <w:sz w:val="18"/>
                      <w:szCs w:val="18"/>
                    </w:rPr>
                    <w:t>1</w:t>
                  </w:r>
                </w:p>
              </w:tc>
              <w:tc>
                <w:tcPr>
                  <w:tcW w:w="66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藻类及斑马鱼尸体</w:t>
                  </w:r>
                </w:p>
              </w:tc>
              <w:tc>
                <w:tcPr>
                  <w:tcW w:w="272"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一般固废</w:t>
                  </w:r>
                </w:p>
              </w:tc>
              <w:tc>
                <w:tcPr>
                  <w:tcW w:w="37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科研实验</w:t>
                  </w:r>
                </w:p>
              </w:tc>
              <w:tc>
                <w:tcPr>
                  <w:tcW w:w="37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固态</w:t>
                  </w:r>
                </w:p>
              </w:tc>
              <w:tc>
                <w:tcPr>
                  <w:tcW w:w="592"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动植物尸体</w:t>
                  </w:r>
                </w:p>
              </w:tc>
              <w:tc>
                <w:tcPr>
                  <w:tcW w:w="58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Cs w:val="21"/>
                    </w:rPr>
                    <w:t>—</w:t>
                  </w:r>
                </w:p>
              </w:tc>
              <w:tc>
                <w:tcPr>
                  <w:tcW w:w="477"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Cs w:val="21"/>
                    </w:rPr>
                    <w:t>—</w:t>
                  </w:r>
                </w:p>
              </w:tc>
              <w:tc>
                <w:tcPr>
                  <w:tcW w:w="34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Cs w:val="21"/>
                    </w:rPr>
                    <w:t>—</w:t>
                  </w:r>
                </w:p>
              </w:tc>
              <w:tc>
                <w:tcPr>
                  <w:tcW w:w="590"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Cs w:val="21"/>
                    </w:rPr>
                    <w:t>—</w:t>
                  </w:r>
                </w:p>
              </w:tc>
              <w:tc>
                <w:tcPr>
                  <w:tcW w:w="489"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.01</w:t>
                  </w:r>
                </w:p>
              </w:tc>
            </w:tr>
          </w:tbl>
          <w:p>
            <w:pPr>
              <w:pStyle w:val="82"/>
              <w:adjustRightInd w:val="0"/>
              <w:spacing w:line="480" w:lineRule="exact"/>
              <w:ind w:firstLine="0" w:firstLineChars="0"/>
              <w:jc w:val="center"/>
              <w:rPr>
                <w:rFonts w:eastAsia="仿宋_GB2312"/>
                <w:b/>
                <w:szCs w:val="24"/>
              </w:rPr>
            </w:pPr>
            <w:r>
              <w:rPr>
                <w:rFonts w:eastAsia="仿宋_GB2312"/>
                <w:b/>
                <w:szCs w:val="24"/>
              </w:rPr>
              <w:t xml:space="preserve">表5-9 </w:t>
            </w:r>
            <w:r>
              <w:rPr>
                <w:rFonts w:hint="eastAsia" w:eastAsia="仿宋_GB2312"/>
                <w:b/>
                <w:szCs w:val="24"/>
              </w:rPr>
              <w:t>项目固体废物产生与处置结果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8"/>
              <w:gridCol w:w="1119"/>
              <w:gridCol w:w="695"/>
              <w:gridCol w:w="776"/>
              <w:gridCol w:w="576"/>
              <w:gridCol w:w="1321"/>
              <w:gridCol w:w="777"/>
              <w:gridCol w:w="1122"/>
              <w:gridCol w:w="747"/>
              <w:gridCol w:w="5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21"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ascii="Times New Roman" w:hAnsi="Times New Roman" w:eastAsia="仿宋_GB2312"/>
                      <w:b/>
                      <w:bCs/>
                      <w:color w:val="000000"/>
                      <w:kern w:val="0"/>
                      <w:sz w:val="18"/>
                      <w:szCs w:val="18"/>
                    </w:rPr>
                    <w:t>序号</w:t>
                  </w:r>
                </w:p>
              </w:tc>
              <w:tc>
                <w:tcPr>
                  <w:tcW w:w="692"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固废</w:t>
                  </w:r>
                  <w:r>
                    <w:rPr>
                      <w:rFonts w:ascii="Times New Roman" w:hAnsi="Times New Roman" w:eastAsia="仿宋_GB2312"/>
                      <w:b/>
                      <w:bCs/>
                      <w:color w:val="000000"/>
                      <w:kern w:val="0"/>
                      <w:sz w:val="18"/>
                      <w:szCs w:val="18"/>
                    </w:rPr>
                    <w:t>名称</w:t>
                  </w:r>
                </w:p>
              </w:tc>
              <w:tc>
                <w:tcPr>
                  <w:tcW w:w="430"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属性</w:t>
                  </w:r>
                </w:p>
              </w:tc>
              <w:tc>
                <w:tcPr>
                  <w:tcW w:w="480"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产生工序</w:t>
                  </w:r>
                </w:p>
              </w:tc>
              <w:tc>
                <w:tcPr>
                  <w:tcW w:w="356"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形态</w:t>
                  </w:r>
                </w:p>
              </w:tc>
              <w:tc>
                <w:tcPr>
                  <w:tcW w:w="817"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主要成分</w:t>
                  </w:r>
                </w:p>
              </w:tc>
              <w:tc>
                <w:tcPr>
                  <w:tcW w:w="480"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危险特性</w:t>
                  </w:r>
                </w:p>
              </w:tc>
              <w:tc>
                <w:tcPr>
                  <w:tcW w:w="694"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废物代码</w:t>
                  </w:r>
                </w:p>
              </w:tc>
              <w:tc>
                <w:tcPr>
                  <w:tcW w:w="462"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预估产生量</w:t>
                  </w:r>
                </w:p>
              </w:tc>
              <w:tc>
                <w:tcPr>
                  <w:tcW w:w="344"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处置情况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1</w:t>
                  </w:r>
                </w:p>
              </w:tc>
              <w:tc>
                <w:tcPr>
                  <w:tcW w:w="692"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生活垃圾</w:t>
                  </w:r>
                </w:p>
              </w:tc>
              <w:tc>
                <w:tcPr>
                  <w:tcW w:w="430"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生活垃圾</w:t>
                  </w:r>
                </w:p>
              </w:tc>
              <w:tc>
                <w:tcPr>
                  <w:tcW w:w="480"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办公生活</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生活垃圾</w:t>
                  </w:r>
                </w:p>
              </w:tc>
              <w:tc>
                <w:tcPr>
                  <w:tcW w:w="480" w:type="pct"/>
                  <w:shd w:val="clear" w:color="auto" w:fill="auto"/>
                  <w:vAlign w:val="center"/>
                </w:tcPr>
                <w:p>
                  <w:pPr>
                    <w:jc w:val="center"/>
                    <w:rPr>
                      <w:rFonts w:ascii="Times New Roman" w:hAnsi="Times New Roman" w:eastAsia="仿宋_GB2312"/>
                      <w:color w:val="000000"/>
                      <w:sz w:val="18"/>
                      <w:szCs w:val="18"/>
                    </w:rPr>
                  </w:pPr>
                </w:p>
              </w:tc>
              <w:tc>
                <w:tcPr>
                  <w:tcW w:w="694" w:type="pct"/>
                  <w:shd w:val="clear" w:color="auto" w:fill="auto"/>
                  <w:vAlign w:val="center"/>
                </w:tcPr>
                <w:p>
                  <w:pPr>
                    <w:jc w:val="center"/>
                    <w:rPr>
                      <w:rFonts w:ascii="Times New Roman" w:hAnsi="Times New Roman" w:eastAsia="仿宋_GB2312"/>
                      <w:color w:val="000000"/>
                      <w:sz w:val="18"/>
                      <w:szCs w:val="18"/>
                    </w:rPr>
                  </w:pP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3</w:t>
                  </w:r>
                  <w:r>
                    <w:rPr>
                      <w:rFonts w:ascii="Times New Roman" w:hAnsi="Times New Roman" w:eastAsia="仿宋_GB2312"/>
                      <w:color w:val="000000"/>
                      <w:kern w:val="0"/>
                      <w:sz w:val="18"/>
                      <w:szCs w:val="18"/>
                    </w:rPr>
                    <w:t>.375</w:t>
                  </w:r>
                </w:p>
              </w:tc>
              <w:tc>
                <w:tcPr>
                  <w:tcW w:w="344" w:type="pct"/>
                  <w:vMerge w:val="restar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2</w:t>
                  </w:r>
                </w:p>
              </w:tc>
              <w:tc>
                <w:tcPr>
                  <w:tcW w:w="692"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废反渗透膜</w:t>
                  </w:r>
                </w:p>
              </w:tc>
              <w:tc>
                <w:tcPr>
                  <w:tcW w:w="430"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一般固废</w:t>
                  </w:r>
                </w:p>
              </w:tc>
              <w:tc>
                <w:tcPr>
                  <w:tcW w:w="480"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纯水制备</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反渗透膜</w:t>
                  </w:r>
                </w:p>
              </w:tc>
              <w:tc>
                <w:tcPr>
                  <w:tcW w:w="480" w:type="pct"/>
                  <w:shd w:val="clear" w:color="auto" w:fill="auto"/>
                  <w:vAlign w:val="center"/>
                </w:tcPr>
                <w:p>
                  <w:pPr>
                    <w:jc w:val="center"/>
                    <w:rPr>
                      <w:rFonts w:ascii="Times New Roman" w:hAnsi="Times New Roman" w:eastAsia="仿宋_GB2312"/>
                      <w:color w:val="000000"/>
                      <w:sz w:val="18"/>
                      <w:szCs w:val="18"/>
                    </w:rPr>
                  </w:pPr>
                </w:p>
              </w:tc>
              <w:tc>
                <w:tcPr>
                  <w:tcW w:w="694"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9</w:t>
                  </w:r>
                  <w:r>
                    <w:rPr>
                      <w:rFonts w:ascii="Times New Roman" w:hAnsi="Times New Roman" w:eastAsia="仿宋_GB2312"/>
                      <w:color w:val="000000"/>
                      <w:sz w:val="18"/>
                      <w:szCs w:val="18"/>
                    </w:rPr>
                    <w:t>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.01</w:t>
                  </w:r>
                </w:p>
              </w:tc>
              <w:tc>
                <w:tcPr>
                  <w:tcW w:w="344"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w:t>
                  </w:r>
                </w:p>
              </w:tc>
              <w:tc>
                <w:tcPr>
                  <w:tcW w:w="692"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废</w:t>
                  </w:r>
                  <w:r>
                    <w:rPr>
                      <w:rFonts w:hint="eastAsia" w:ascii="Times New Roman" w:hAnsi="Times New Roman" w:eastAsia="仿宋_GB2312"/>
                      <w:color w:val="000000"/>
                      <w:sz w:val="18"/>
                      <w:szCs w:val="21"/>
                    </w:rPr>
                    <w:t>玻璃器皿等耗材</w:t>
                  </w:r>
                </w:p>
              </w:tc>
              <w:tc>
                <w:tcPr>
                  <w:tcW w:w="430" w:type="pct"/>
                  <w:vMerge w:val="restar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危险废物</w:t>
                  </w:r>
                </w:p>
              </w:tc>
              <w:tc>
                <w:tcPr>
                  <w:tcW w:w="480"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18"/>
                    </w:rPr>
                    <w:t>检测</w:t>
                  </w:r>
                  <w:r>
                    <w:rPr>
                      <w:rFonts w:hint="eastAsia" w:ascii="Times New Roman" w:hAnsi="Times New Roman" w:eastAsia="仿宋_GB2312"/>
                      <w:color w:val="000000"/>
                      <w:sz w:val="18"/>
                      <w:szCs w:val="18"/>
                    </w:rPr>
                    <w:t>、科研</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w:t>
                  </w:r>
                </w:p>
              </w:tc>
              <w:tc>
                <w:tcPr>
                  <w:tcW w:w="817"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塑料、玻璃等</w:t>
                  </w:r>
                </w:p>
              </w:tc>
              <w:tc>
                <w:tcPr>
                  <w:tcW w:w="480"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T/C</w:t>
                  </w:r>
                </w:p>
              </w:tc>
              <w:tc>
                <w:tcPr>
                  <w:tcW w:w="694"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900-047-49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.5</w:t>
                  </w:r>
                </w:p>
              </w:tc>
              <w:tc>
                <w:tcPr>
                  <w:tcW w:w="344" w:type="pct"/>
                  <w:vMerge w:val="restar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w:t>
                  </w:r>
                </w:p>
              </w:tc>
              <w:tc>
                <w:tcPr>
                  <w:tcW w:w="692"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废试剂瓶</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18"/>
                    </w:rPr>
                    <w:t>检测、科研</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玻璃、无机、有机溶剂残留</w:t>
                  </w: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694"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.8</w:t>
                  </w:r>
                </w:p>
              </w:tc>
              <w:tc>
                <w:tcPr>
                  <w:tcW w:w="344"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w:t>
                  </w:r>
                </w:p>
              </w:tc>
              <w:tc>
                <w:tcPr>
                  <w:tcW w:w="692"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废药剂包装</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18"/>
                    </w:rPr>
                    <w:t>检测、科研</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塑料等</w:t>
                  </w: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694"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.2</w:t>
                  </w:r>
                </w:p>
              </w:tc>
              <w:tc>
                <w:tcPr>
                  <w:tcW w:w="344"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w:t>
                  </w:r>
                </w:p>
              </w:tc>
              <w:tc>
                <w:tcPr>
                  <w:tcW w:w="692"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废固体样品</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18"/>
                    </w:rPr>
                    <w:t>检测</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w:t>
                  </w:r>
                </w:p>
              </w:tc>
              <w:tc>
                <w:tcPr>
                  <w:tcW w:w="817"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固废、土壤</w:t>
                  </w:r>
                  <w:r>
                    <w:rPr>
                      <w:rFonts w:hint="eastAsia" w:ascii="Times New Roman" w:hAnsi="Times New Roman" w:eastAsia="仿宋_GB2312"/>
                      <w:color w:val="000000"/>
                      <w:sz w:val="18"/>
                      <w:szCs w:val="18"/>
                    </w:rPr>
                    <w:t>、</w:t>
                  </w:r>
                  <w:r>
                    <w:rPr>
                      <w:rFonts w:ascii="Times New Roman" w:hAnsi="Times New Roman" w:eastAsia="仿宋_GB2312"/>
                      <w:color w:val="000000"/>
                      <w:sz w:val="18"/>
                      <w:szCs w:val="18"/>
                    </w:rPr>
                    <w:t>等样品</w:t>
                  </w:r>
                </w:p>
              </w:tc>
              <w:tc>
                <w:tcPr>
                  <w:tcW w:w="480"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T/C</w:t>
                  </w:r>
                </w:p>
              </w:tc>
              <w:tc>
                <w:tcPr>
                  <w:tcW w:w="694"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900-047-49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4.0</w:t>
                  </w:r>
                </w:p>
              </w:tc>
              <w:tc>
                <w:tcPr>
                  <w:tcW w:w="344" w:type="pct"/>
                  <w:vMerge w:val="continue"/>
                  <w:shd w:val="clear" w:color="auto" w:fill="auto"/>
                  <w:vAlign w:val="center"/>
                </w:tcPr>
                <w:p>
                  <w:pPr>
                    <w:jc w:val="center"/>
                    <w:rPr>
                      <w:rFonts w:ascii="Times New Roman" w:hAnsi="Times New Roman" w:eastAsia="仿宋_GB2312"/>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7</w:t>
                  </w:r>
                </w:p>
              </w:tc>
              <w:tc>
                <w:tcPr>
                  <w:tcW w:w="692"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废</w:t>
                  </w:r>
                  <w:r>
                    <w:rPr>
                      <w:rFonts w:hint="eastAsia" w:ascii="Times New Roman" w:hAnsi="Times New Roman" w:eastAsia="仿宋_GB2312"/>
                      <w:color w:val="000000"/>
                      <w:sz w:val="18"/>
                      <w:szCs w:val="21"/>
                    </w:rPr>
                    <w:t>液体</w:t>
                  </w:r>
                  <w:r>
                    <w:rPr>
                      <w:rFonts w:ascii="Times New Roman" w:hAnsi="Times New Roman" w:eastAsia="仿宋_GB2312"/>
                      <w:color w:val="000000"/>
                      <w:sz w:val="18"/>
                      <w:szCs w:val="21"/>
                    </w:rPr>
                    <w:t>样品</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检测</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液</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水样</w:t>
                  </w: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w:t>
                  </w:r>
                </w:p>
              </w:tc>
              <w:tc>
                <w:tcPr>
                  <w:tcW w:w="694"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2.0</w:t>
                  </w:r>
                </w:p>
              </w:tc>
              <w:tc>
                <w:tcPr>
                  <w:tcW w:w="344" w:type="pct"/>
                  <w:vMerge w:val="continue"/>
                  <w:shd w:val="clear" w:color="auto" w:fill="auto"/>
                  <w:vAlign w:val="center"/>
                </w:tcPr>
                <w:p>
                  <w:pPr>
                    <w:jc w:val="center"/>
                    <w:rPr>
                      <w:rFonts w:ascii="Times New Roman" w:hAnsi="Times New Roman" w:eastAsia="仿宋_GB2312"/>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8</w:t>
                  </w:r>
                </w:p>
              </w:tc>
              <w:tc>
                <w:tcPr>
                  <w:tcW w:w="692"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科研、检测废液及前两道清洗废液</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kern w:val="0"/>
                      <w:sz w:val="18"/>
                      <w:szCs w:val="18"/>
                    </w:rPr>
                    <w:t>科研检测</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液</w:t>
                  </w:r>
                </w:p>
              </w:tc>
              <w:tc>
                <w:tcPr>
                  <w:tcW w:w="817"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水、试剂、</w:t>
                  </w:r>
                  <w:r>
                    <w:rPr>
                      <w:rFonts w:hint="eastAsia" w:ascii="Times New Roman" w:hAnsi="Times New Roman" w:eastAsia="仿宋_GB2312"/>
                      <w:color w:val="000000"/>
                      <w:sz w:val="18"/>
                      <w:szCs w:val="18"/>
                    </w:rPr>
                    <w:t>标样等</w:t>
                  </w:r>
                </w:p>
              </w:tc>
              <w:tc>
                <w:tcPr>
                  <w:tcW w:w="480"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T/C/R</w:t>
                  </w:r>
                </w:p>
              </w:tc>
              <w:tc>
                <w:tcPr>
                  <w:tcW w:w="694"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900-047-49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3</w:t>
                  </w:r>
                  <w:r>
                    <w:rPr>
                      <w:rFonts w:ascii="Times New Roman" w:hAnsi="Times New Roman" w:eastAsia="仿宋_GB2312"/>
                      <w:color w:val="000000"/>
                      <w:kern w:val="0"/>
                      <w:sz w:val="18"/>
                      <w:szCs w:val="18"/>
                    </w:rPr>
                    <w:t>.2</w:t>
                  </w:r>
                </w:p>
              </w:tc>
              <w:tc>
                <w:tcPr>
                  <w:tcW w:w="344" w:type="pct"/>
                  <w:vMerge w:val="continue"/>
                  <w:shd w:val="clear" w:color="auto" w:fill="auto"/>
                  <w:vAlign w:val="center"/>
                </w:tcPr>
                <w:p>
                  <w:pPr>
                    <w:jc w:val="center"/>
                    <w:rPr>
                      <w:rFonts w:ascii="Times New Roman" w:hAnsi="Times New Roman" w:eastAsia="仿宋_GB2312"/>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9</w:t>
                  </w:r>
                </w:p>
              </w:tc>
              <w:tc>
                <w:tcPr>
                  <w:tcW w:w="692"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过期化学品</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18"/>
                    </w:rPr>
                    <w:t>科研检测</w:t>
                  </w:r>
                </w:p>
              </w:tc>
              <w:tc>
                <w:tcPr>
                  <w:tcW w:w="35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固、液</w:t>
                  </w:r>
                </w:p>
              </w:tc>
              <w:tc>
                <w:tcPr>
                  <w:tcW w:w="817"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过期化学品</w:t>
                  </w: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T/C/I/R</w:t>
                  </w:r>
                </w:p>
              </w:tc>
              <w:tc>
                <w:tcPr>
                  <w:tcW w:w="694"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21"/>
                    </w:rPr>
                    <w:t>9</w:t>
                  </w:r>
                  <w:r>
                    <w:rPr>
                      <w:rFonts w:ascii="Times New Roman" w:hAnsi="Times New Roman" w:eastAsia="仿宋_GB2312"/>
                      <w:color w:val="000000"/>
                      <w:sz w:val="18"/>
                      <w:szCs w:val="21"/>
                    </w:rPr>
                    <w:t>00-999-49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sz w:val="18"/>
                      <w:szCs w:val="21"/>
                    </w:rPr>
                    <w:t>0</w:t>
                  </w:r>
                  <w:r>
                    <w:rPr>
                      <w:rFonts w:ascii="Times New Roman" w:hAnsi="Times New Roman" w:eastAsia="仿宋_GB2312"/>
                      <w:color w:val="000000"/>
                      <w:sz w:val="18"/>
                      <w:szCs w:val="21"/>
                    </w:rPr>
                    <w:t>.5</w:t>
                  </w:r>
                </w:p>
              </w:tc>
              <w:tc>
                <w:tcPr>
                  <w:tcW w:w="344"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10</w:t>
                  </w:r>
                </w:p>
              </w:tc>
              <w:tc>
                <w:tcPr>
                  <w:tcW w:w="692"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废活性炭</w:t>
                  </w:r>
                </w:p>
              </w:tc>
              <w:tc>
                <w:tcPr>
                  <w:tcW w:w="430"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废气处理</w:t>
                  </w:r>
                </w:p>
              </w:tc>
              <w:tc>
                <w:tcPr>
                  <w:tcW w:w="356"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固</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活性炭</w:t>
                  </w: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T</w:t>
                  </w:r>
                </w:p>
              </w:tc>
              <w:tc>
                <w:tcPr>
                  <w:tcW w:w="694"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900-039-49</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1</w:t>
                  </w:r>
                  <w:r>
                    <w:rPr>
                      <w:rFonts w:ascii="Times New Roman" w:hAnsi="Times New Roman" w:eastAsia="仿宋_GB2312"/>
                      <w:color w:val="000000"/>
                      <w:kern w:val="0"/>
                      <w:sz w:val="18"/>
                      <w:szCs w:val="18"/>
                    </w:rPr>
                    <w:t>.8</w:t>
                  </w:r>
                </w:p>
              </w:tc>
              <w:tc>
                <w:tcPr>
                  <w:tcW w:w="344" w:type="pct"/>
                  <w:vMerge w:val="continue"/>
                  <w:shd w:val="clear" w:color="auto" w:fill="auto"/>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1</w:t>
                  </w:r>
                  <w:r>
                    <w:rPr>
                      <w:rFonts w:ascii="Times New Roman" w:hAnsi="Times New Roman" w:eastAsia="仿宋_GB2312"/>
                      <w:color w:val="000000"/>
                      <w:kern w:val="0"/>
                      <w:sz w:val="18"/>
                      <w:szCs w:val="18"/>
                    </w:rPr>
                    <w:t>1</w:t>
                  </w:r>
                </w:p>
              </w:tc>
              <w:tc>
                <w:tcPr>
                  <w:tcW w:w="692"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藻类及斑马鱼尸体</w:t>
                  </w:r>
                </w:p>
              </w:tc>
              <w:tc>
                <w:tcPr>
                  <w:tcW w:w="430"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一般固废</w:t>
                  </w:r>
                </w:p>
              </w:tc>
              <w:tc>
                <w:tcPr>
                  <w:tcW w:w="480"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科研实验</w:t>
                  </w:r>
                </w:p>
              </w:tc>
              <w:tc>
                <w:tcPr>
                  <w:tcW w:w="356"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固</w:t>
                  </w:r>
                </w:p>
              </w:tc>
              <w:tc>
                <w:tcPr>
                  <w:tcW w:w="817"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动植物尸体</w:t>
                  </w:r>
                </w:p>
              </w:tc>
              <w:tc>
                <w:tcPr>
                  <w:tcW w:w="48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Cs w:val="21"/>
                    </w:rPr>
                    <w:t>—</w:t>
                  </w:r>
                </w:p>
              </w:tc>
              <w:tc>
                <w:tcPr>
                  <w:tcW w:w="694"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Cs w:val="21"/>
                    </w:rPr>
                    <w:t>—</w:t>
                  </w:r>
                </w:p>
              </w:tc>
              <w:tc>
                <w:tcPr>
                  <w:tcW w:w="462"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.01</w:t>
                  </w:r>
                </w:p>
              </w:tc>
              <w:tc>
                <w:tcPr>
                  <w:tcW w:w="344"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环卫部门统一清运</w:t>
                  </w:r>
                </w:p>
              </w:tc>
            </w:tr>
          </w:tbl>
          <w:p>
            <w:pPr>
              <w:pStyle w:val="87"/>
              <w:adjustRightInd w:val="0"/>
              <w:snapToGrid w:val="0"/>
              <w:spacing w:line="480" w:lineRule="exact"/>
              <w:ind w:firstLine="482"/>
              <w:rPr>
                <w:rFonts w:ascii="Times New Roman" w:hAnsi="Times New Roman" w:eastAsia="仿宋_GB2312"/>
                <w:b w:val="0"/>
                <w:color w:val="000000"/>
                <w:sz w:val="24"/>
                <w:szCs w:val="24"/>
              </w:rPr>
            </w:pPr>
            <w:r>
              <w:rPr>
                <w:rFonts w:ascii="Times New Roman" w:hAnsi="Times New Roman" w:eastAsia="仿宋_GB2312"/>
                <w:b/>
                <w:color w:val="000000"/>
                <w:sz w:val="24"/>
                <w:szCs w:val="24"/>
              </w:rPr>
              <w:fldChar w:fldCharType="begin"/>
            </w:r>
            <w:r>
              <w:rPr>
                <w:rFonts w:ascii="Times New Roman" w:hAnsi="Times New Roman" w:eastAsia="仿宋_GB2312"/>
                <w:b w:val="0"/>
                <w:color w:val="000000"/>
                <w:sz w:val="24"/>
                <w:szCs w:val="24"/>
              </w:rPr>
              <w:instrText xml:space="preserve"> = 4 \* GB3 </w:instrText>
            </w:r>
            <w:r>
              <w:rPr>
                <w:rFonts w:ascii="Times New Roman" w:hAnsi="Times New Roman" w:eastAsia="仿宋_GB2312"/>
                <w:b/>
                <w:color w:val="000000"/>
                <w:sz w:val="24"/>
                <w:szCs w:val="24"/>
              </w:rPr>
              <w:fldChar w:fldCharType="separate"/>
            </w:r>
            <w:r>
              <w:rPr>
                <w:rFonts w:hint="eastAsia" w:ascii="宋体" w:hAnsi="宋体" w:cs="宋体"/>
                <w:b w:val="0"/>
                <w:color w:val="000000"/>
                <w:sz w:val="24"/>
                <w:szCs w:val="24"/>
              </w:rPr>
              <w:t>④</w:t>
            </w:r>
            <w:r>
              <w:rPr>
                <w:rFonts w:ascii="Times New Roman" w:hAnsi="Times New Roman" w:eastAsia="仿宋_GB2312"/>
                <w:b/>
                <w:color w:val="000000"/>
                <w:sz w:val="24"/>
                <w:szCs w:val="24"/>
              </w:rPr>
              <w:fldChar w:fldCharType="end"/>
            </w:r>
            <w:r>
              <w:rPr>
                <w:rFonts w:ascii="Times New Roman" w:hAnsi="Times New Roman" w:eastAsia="仿宋_GB2312"/>
                <w:b w:val="0"/>
                <w:color w:val="000000"/>
                <w:sz w:val="24"/>
                <w:szCs w:val="24"/>
              </w:rPr>
              <w:t xml:space="preserve"> 噪声</w:t>
            </w:r>
          </w:p>
          <w:p>
            <w:pPr>
              <w:adjustRightInd w:val="0"/>
              <w:snapToGrid w:val="0"/>
              <w:spacing w:line="480" w:lineRule="exact"/>
              <w:ind w:firstLine="480" w:firstLineChars="200"/>
              <w:rPr>
                <w:rFonts w:ascii="Times New Roman" w:hAnsi="Times New Roman" w:eastAsia="仿宋_GB2312"/>
                <w:b w:val="0"/>
                <w:color w:val="000000"/>
                <w:sz w:val="24"/>
                <w:szCs w:val="24"/>
              </w:rPr>
            </w:pPr>
            <w:r>
              <w:rPr>
                <w:rFonts w:ascii="Times New Roman" w:hAnsi="Times New Roman" w:eastAsia="仿宋_GB2312"/>
                <w:b w:val="0"/>
                <w:bCs/>
                <w:color w:val="000000"/>
                <w:sz w:val="24"/>
                <w:szCs w:val="24"/>
              </w:rPr>
              <w:t>项目实行白天</w:t>
            </w:r>
            <w:r>
              <w:rPr>
                <w:rFonts w:ascii="Times New Roman" w:hAnsi="Times New Roman" w:eastAsia="仿宋_GB2312"/>
                <w:b w:val="0"/>
                <w:color w:val="000000"/>
                <w:sz w:val="24"/>
                <w:szCs w:val="24"/>
              </w:rPr>
              <w:t>8小时</w:t>
            </w:r>
            <w:r>
              <w:rPr>
                <w:rFonts w:ascii="Times New Roman" w:hAnsi="Times New Roman" w:eastAsia="仿宋_GB2312"/>
                <w:b w:val="0"/>
                <w:bCs/>
                <w:color w:val="000000"/>
                <w:sz w:val="24"/>
                <w:szCs w:val="24"/>
              </w:rPr>
              <w:t>一班制，噪声源主要为风机</w:t>
            </w:r>
            <w:r>
              <w:rPr>
                <w:rFonts w:hint="eastAsia" w:ascii="Times New Roman" w:hAnsi="Times New Roman" w:eastAsia="仿宋_GB2312"/>
                <w:b w:val="0"/>
                <w:bCs/>
                <w:color w:val="000000"/>
                <w:sz w:val="24"/>
                <w:szCs w:val="24"/>
              </w:rPr>
              <w:t>及空调外机</w:t>
            </w:r>
            <w:r>
              <w:rPr>
                <w:rFonts w:ascii="Times New Roman" w:hAnsi="Times New Roman" w:eastAsia="仿宋_GB2312"/>
                <w:b w:val="0"/>
                <w:bCs/>
                <w:color w:val="000000"/>
                <w:sz w:val="24"/>
                <w:szCs w:val="24"/>
              </w:rPr>
              <w:t>运行时产生的噪声，源强</w:t>
            </w:r>
            <w:r>
              <w:rPr>
                <w:rFonts w:hint="eastAsia" w:ascii="Times New Roman" w:hAnsi="Times New Roman" w:eastAsia="仿宋_GB2312"/>
                <w:b w:val="0"/>
                <w:bCs/>
                <w:color w:val="000000"/>
                <w:sz w:val="24"/>
                <w:szCs w:val="24"/>
              </w:rPr>
              <w:t>分别</w:t>
            </w:r>
            <w:r>
              <w:rPr>
                <w:rFonts w:ascii="Times New Roman" w:hAnsi="Times New Roman" w:eastAsia="仿宋_GB2312"/>
                <w:b w:val="0"/>
                <w:bCs/>
                <w:color w:val="000000"/>
                <w:sz w:val="24"/>
                <w:szCs w:val="24"/>
              </w:rPr>
              <w:t>为85</w:t>
            </w:r>
            <w:r>
              <w:rPr>
                <w:rFonts w:hint="eastAsia" w:ascii="Times New Roman" w:hAnsi="Times New Roman" w:eastAsia="仿宋_GB2312"/>
                <w:b w:val="0"/>
                <w:bCs/>
                <w:color w:val="000000"/>
                <w:sz w:val="24"/>
                <w:szCs w:val="24"/>
              </w:rPr>
              <w:t>和6</w:t>
            </w:r>
            <w:r>
              <w:rPr>
                <w:rFonts w:ascii="Times New Roman" w:hAnsi="Times New Roman" w:eastAsia="仿宋_GB2312"/>
                <w:b w:val="0"/>
                <w:bCs/>
                <w:color w:val="000000"/>
                <w:sz w:val="24"/>
                <w:szCs w:val="24"/>
              </w:rPr>
              <w:t>0dB(A)左右。</w:t>
            </w:r>
            <w:r>
              <w:rPr>
                <w:rFonts w:ascii="Times New Roman" w:hAnsi="Times New Roman" w:eastAsia="仿宋_GB2312"/>
                <w:b w:val="0"/>
                <w:color w:val="000000"/>
                <w:sz w:val="24"/>
                <w:szCs w:val="24"/>
              </w:rPr>
              <w:t>项目</w:t>
            </w:r>
            <w:r>
              <w:rPr>
                <w:rFonts w:hint="eastAsia" w:ascii="Times New Roman" w:hAnsi="Times New Roman" w:eastAsia="仿宋_GB2312"/>
                <w:b w:val="0"/>
                <w:color w:val="000000"/>
                <w:sz w:val="24"/>
                <w:szCs w:val="24"/>
              </w:rPr>
              <w:t>主要噪声源及控制措施</w:t>
            </w:r>
            <w:r>
              <w:rPr>
                <w:rFonts w:ascii="Times New Roman" w:hAnsi="Times New Roman" w:eastAsia="仿宋_GB2312"/>
                <w:b w:val="0"/>
                <w:color w:val="000000"/>
                <w:sz w:val="24"/>
                <w:szCs w:val="24"/>
              </w:rPr>
              <w:t>见表5-10。</w:t>
            </w: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表5-10 主要噪声</w:t>
            </w:r>
            <w:r>
              <w:rPr>
                <w:rFonts w:hint="eastAsia" w:ascii="Times New Roman" w:hAnsi="Times New Roman" w:eastAsia="仿宋_GB2312"/>
                <w:b/>
                <w:color w:val="000000"/>
                <w:sz w:val="24"/>
                <w:szCs w:val="24"/>
              </w:rPr>
              <w:t>源及控制措施</w:t>
            </w:r>
          </w:p>
          <w:tbl>
            <w:tblPr>
              <w:tblStyle w:val="3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688"/>
              <w:gridCol w:w="1171"/>
              <w:gridCol w:w="721"/>
              <w:gridCol w:w="846"/>
              <w:gridCol w:w="936"/>
              <w:gridCol w:w="1219"/>
              <w:gridCol w:w="900"/>
              <w:gridCol w:w="11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33" w:type="dxa"/>
                  <w:shd w:val="clear" w:color="auto" w:fill="auto"/>
                  <w:vAlign w:val="center"/>
                </w:tcPr>
                <w:p>
                  <w:pPr>
                    <w:pStyle w:val="244"/>
                    <w:rPr>
                      <w:rFonts w:eastAsia="仿宋_GB2312"/>
                      <w:color w:val="000000"/>
                    </w:rPr>
                  </w:pPr>
                  <w:r>
                    <w:rPr>
                      <w:rFonts w:eastAsia="仿宋_GB2312"/>
                      <w:color w:val="000000"/>
                    </w:rPr>
                    <w:t>序号</w:t>
                  </w:r>
                </w:p>
              </w:tc>
              <w:tc>
                <w:tcPr>
                  <w:tcW w:w="688" w:type="dxa"/>
                  <w:shd w:val="clear" w:color="auto" w:fill="auto"/>
                  <w:vAlign w:val="center"/>
                </w:tcPr>
                <w:p>
                  <w:pPr>
                    <w:pStyle w:val="244"/>
                    <w:rPr>
                      <w:rFonts w:eastAsia="仿宋_GB2312"/>
                      <w:color w:val="000000"/>
                    </w:rPr>
                  </w:pPr>
                  <w:r>
                    <w:rPr>
                      <w:rFonts w:hint="eastAsia" w:eastAsia="仿宋_GB2312"/>
                      <w:color w:val="000000"/>
                    </w:rPr>
                    <w:t>噪声源</w:t>
                  </w:r>
                  <w:r>
                    <w:rPr>
                      <w:rFonts w:eastAsia="仿宋_GB2312"/>
                      <w:color w:val="000000"/>
                    </w:rPr>
                    <w:t>名称</w:t>
                  </w:r>
                </w:p>
              </w:tc>
              <w:tc>
                <w:tcPr>
                  <w:tcW w:w="1171" w:type="dxa"/>
                  <w:shd w:val="clear" w:color="auto" w:fill="auto"/>
                  <w:vAlign w:val="center"/>
                </w:tcPr>
                <w:p>
                  <w:pPr>
                    <w:pStyle w:val="244"/>
                    <w:rPr>
                      <w:rFonts w:eastAsia="仿宋_GB2312"/>
                      <w:color w:val="000000"/>
                    </w:rPr>
                  </w:pPr>
                  <w:r>
                    <w:rPr>
                      <w:rFonts w:hint="eastAsia" w:eastAsia="仿宋_GB2312"/>
                      <w:color w:val="000000"/>
                    </w:rPr>
                    <w:t>治理前噪声源强</w:t>
                  </w:r>
                </w:p>
                <w:p>
                  <w:pPr>
                    <w:pStyle w:val="244"/>
                    <w:jc w:val="both"/>
                    <w:rPr>
                      <w:rFonts w:eastAsia="仿宋_GB2312"/>
                      <w:color w:val="000000"/>
                    </w:rPr>
                  </w:pPr>
                  <w:r>
                    <w:rPr>
                      <w:rFonts w:hint="eastAsia" w:eastAsia="仿宋_GB2312"/>
                      <w:color w:val="000000"/>
                    </w:rPr>
                    <w:t>dB（A）/台</w:t>
                  </w:r>
                </w:p>
              </w:tc>
              <w:tc>
                <w:tcPr>
                  <w:tcW w:w="721" w:type="dxa"/>
                  <w:shd w:val="clear" w:color="auto" w:fill="auto"/>
                  <w:vAlign w:val="center"/>
                </w:tcPr>
                <w:p>
                  <w:pPr>
                    <w:pStyle w:val="244"/>
                    <w:rPr>
                      <w:rFonts w:eastAsia="仿宋_GB2312"/>
                      <w:color w:val="000000"/>
                    </w:rPr>
                  </w:pPr>
                  <w:r>
                    <w:rPr>
                      <w:rFonts w:hint="eastAsia" w:eastAsia="仿宋_GB2312"/>
                      <w:color w:val="000000"/>
                    </w:rPr>
                    <w:t>使用类型</w:t>
                  </w:r>
                </w:p>
              </w:tc>
              <w:tc>
                <w:tcPr>
                  <w:tcW w:w="846" w:type="dxa"/>
                  <w:vAlign w:val="center"/>
                </w:tcPr>
                <w:p>
                  <w:pPr>
                    <w:pStyle w:val="244"/>
                    <w:rPr>
                      <w:rFonts w:eastAsia="仿宋_GB2312"/>
                      <w:color w:val="000000"/>
                    </w:rPr>
                  </w:pPr>
                  <w:r>
                    <w:rPr>
                      <w:rFonts w:hint="eastAsia" w:eastAsia="仿宋_GB2312"/>
                      <w:color w:val="000000"/>
                    </w:rPr>
                    <w:t>数量（台）</w:t>
                  </w:r>
                </w:p>
              </w:tc>
              <w:tc>
                <w:tcPr>
                  <w:tcW w:w="936" w:type="dxa"/>
                  <w:shd w:val="clear" w:color="auto" w:fill="auto"/>
                  <w:vAlign w:val="center"/>
                </w:tcPr>
                <w:p>
                  <w:pPr>
                    <w:pStyle w:val="244"/>
                    <w:rPr>
                      <w:rFonts w:eastAsia="仿宋_GB2312"/>
                      <w:color w:val="000000"/>
                    </w:rPr>
                  </w:pPr>
                  <w:r>
                    <w:rPr>
                      <w:rFonts w:eastAsia="仿宋_GB2312"/>
                      <w:color w:val="000000"/>
                    </w:rPr>
                    <w:t>所在位置</w:t>
                  </w:r>
                </w:p>
              </w:tc>
              <w:tc>
                <w:tcPr>
                  <w:tcW w:w="1219" w:type="dxa"/>
                  <w:vAlign w:val="center"/>
                </w:tcPr>
                <w:p>
                  <w:pPr>
                    <w:pStyle w:val="244"/>
                    <w:rPr>
                      <w:rFonts w:eastAsia="仿宋_GB2312"/>
                      <w:color w:val="000000"/>
                    </w:rPr>
                  </w:pPr>
                  <w:r>
                    <w:rPr>
                      <w:rFonts w:hint="eastAsia" w:eastAsia="仿宋_GB2312"/>
                      <w:color w:val="000000"/>
                    </w:rPr>
                    <w:t>距离厂界最近距离</w:t>
                  </w:r>
                </w:p>
              </w:tc>
              <w:tc>
                <w:tcPr>
                  <w:tcW w:w="900" w:type="dxa"/>
                  <w:shd w:val="clear" w:color="auto" w:fill="auto"/>
                  <w:vAlign w:val="center"/>
                </w:tcPr>
                <w:p>
                  <w:pPr>
                    <w:pStyle w:val="244"/>
                    <w:rPr>
                      <w:rFonts w:eastAsia="仿宋_GB2312"/>
                      <w:color w:val="000000"/>
                    </w:rPr>
                  </w:pPr>
                  <w:r>
                    <w:rPr>
                      <w:rFonts w:eastAsia="仿宋_GB2312"/>
                      <w:color w:val="000000"/>
                    </w:rPr>
                    <w:t>治理措施</w:t>
                  </w:r>
                </w:p>
              </w:tc>
              <w:tc>
                <w:tcPr>
                  <w:tcW w:w="1173" w:type="dxa"/>
                  <w:shd w:val="clear" w:color="auto" w:fill="auto"/>
                  <w:vAlign w:val="center"/>
                </w:tcPr>
                <w:p>
                  <w:pPr>
                    <w:pStyle w:val="244"/>
                    <w:rPr>
                      <w:rFonts w:eastAsia="仿宋_GB2312"/>
                      <w:color w:val="000000"/>
                    </w:rPr>
                  </w:pPr>
                  <w:r>
                    <w:rPr>
                      <w:rFonts w:eastAsia="仿宋_GB2312"/>
                      <w:color w:val="000000"/>
                    </w:rPr>
                    <w:t>治理措施降噪效果（dB(A)）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3" w:type="dxa"/>
                  <w:shd w:val="clear" w:color="auto" w:fill="auto"/>
                  <w:vAlign w:val="center"/>
                </w:tcPr>
                <w:p>
                  <w:pPr>
                    <w:pStyle w:val="244"/>
                    <w:rPr>
                      <w:rFonts w:eastAsia="仿宋_GB2312"/>
                      <w:snapToGrid w:val="0"/>
                      <w:color w:val="000000"/>
                      <w:kern w:val="0"/>
                    </w:rPr>
                  </w:pPr>
                  <w:r>
                    <w:rPr>
                      <w:rFonts w:eastAsia="仿宋_GB2312"/>
                      <w:snapToGrid w:val="0"/>
                      <w:color w:val="000000"/>
                      <w:kern w:val="0"/>
                    </w:rPr>
                    <w:t>1</w:t>
                  </w:r>
                </w:p>
              </w:tc>
              <w:tc>
                <w:tcPr>
                  <w:tcW w:w="688" w:type="dxa"/>
                  <w:shd w:val="clear" w:color="auto" w:fill="auto"/>
                  <w:vAlign w:val="center"/>
                </w:tcPr>
                <w:p>
                  <w:pPr>
                    <w:pStyle w:val="244"/>
                    <w:rPr>
                      <w:rFonts w:eastAsia="仿宋_GB2312"/>
                      <w:snapToGrid w:val="0"/>
                      <w:color w:val="000000"/>
                      <w:kern w:val="0"/>
                    </w:rPr>
                  </w:pPr>
                  <w:r>
                    <w:rPr>
                      <w:rFonts w:eastAsia="仿宋_GB2312"/>
                      <w:snapToGrid w:val="0"/>
                      <w:color w:val="000000"/>
                      <w:kern w:val="0"/>
                    </w:rPr>
                    <w:t>风机</w:t>
                  </w:r>
                </w:p>
              </w:tc>
              <w:tc>
                <w:tcPr>
                  <w:tcW w:w="1171" w:type="dxa"/>
                  <w:shd w:val="clear" w:color="auto" w:fill="auto"/>
                  <w:vAlign w:val="center"/>
                </w:tcPr>
                <w:p>
                  <w:pPr>
                    <w:pStyle w:val="244"/>
                    <w:rPr>
                      <w:rFonts w:eastAsia="仿宋_GB2312"/>
                      <w:color w:val="000000"/>
                    </w:rPr>
                  </w:pPr>
                  <w:r>
                    <w:rPr>
                      <w:rFonts w:eastAsia="仿宋_GB2312"/>
                      <w:color w:val="000000"/>
                    </w:rPr>
                    <w:t>85</w:t>
                  </w:r>
                </w:p>
              </w:tc>
              <w:tc>
                <w:tcPr>
                  <w:tcW w:w="721" w:type="dxa"/>
                  <w:shd w:val="clear" w:color="auto" w:fill="auto"/>
                  <w:vAlign w:val="center"/>
                </w:tcPr>
                <w:p>
                  <w:pPr>
                    <w:pStyle w:val="244"/>
                    <w:rPr>
                      <w:rFonts w:eastAsia="仿宋_GB2312"/>
                      <w:snapToGrid w:val="0"/>
                      <w:color w:val="000000"/>
                      <w:kern w:val="0"/>
                    </w:rPr>
                  </w:pPr>
                  <w:r>
                    <w:rPr>
                      <w:rFonts w:hint="eastAsia" w:eastAsia="仿宋_GB2312"/>
                      <w:snapToGrid w:val="0"/>
                      <w:color w:val="000000"/>
                      <w:kern w:val="0"/>
                    </w:rPr>
                    <w:t>白天连续</w:t>
                  </w:r>
                </w:p>
              </w:tc>
              <w:tc>
                <w:tcPr>
                  <w:tcW w:w="846" w:type="dxa"/>
                  <w:vAlign w:val="center"/>
                </w:tcPr>
                <w:p>
                  <w:pPr>
                    <w:pStyle w:val="244"/>
                    <w:rPr>
                      <w:rFonts w:eastAsia="仿宋_GB2312"/>
                      <w:color w:val="000000"/>
                    </w:rPr>
                  </w:pPr>
                  <w:r>
                    <w:rPr>
                      <w:rFonts w:hint="eastAsia" w:eastAsia="仿宋_GB2312"/>
                      <w:color w:val="000000"/>
                    </w:rPr>
                    <w:t>1</w:t>
                  </w:r>
                </w:p>
              </w:tc>
              <w:tc>
                <w:tcPr>
                  <w:tcW w:w="936" w:type="dxa"/>
                  <w:shd w:val="clear" w:color="auto" w:fill="auto"/>
                  <w:vAlign w:val="center"/>
                </w:tcPr>
                <w:p>
                  <w:pPr>
                    <w:pStyle w:val="244"/>
                    <w:rPr>
                      <w:rFonts w:eastAsia="仿宋_GB2312"/>
                      <w:color w:val="000000"/>
                    </w:rPr>
                  </w:pPr>
                  <w:r>
                    <w:rPr>
                      <w:rFonts w:eastAsia="仿宋_GB2312"/>
                      <w:color w:val="000000"/>
                    </w:rPr>
                    <w:t>实验楼西侧</w:t>
                  </w:r>
                  <w:r>
                    <w:rPr>
                      <w:rFonts w:hint="eastAsia" w:eastAsia="仿宋_GB2312"/>
                      <w:color w:val="000000"/>
                    </w:rPr>
                    <w:t>外墙</w:t>
                  </w:r>
                </w:p>
              </w:tc>
              <w:tc>
                <w:tcPr>
                  <w:tcW w:w="1219" w:type="dxa"/>
                  <w:vAlign w:val="center"/>
                </w:tcPr>
                <w:p>
                  <w:pPr>
                    <w:pStyle w:val="244"/>
                    <w:rPr>
                      <w:rFonts w:eastAsia="仿宋_GB2312"/>
                      <w:color w:val="000000"/>
                    </w:rPr>
                  </w:pPr>
                  <w:r>
                    <w:rPr>
                      <w:rFonts w:hint="eastAsia" w:eastAsia="仿宋_GB2312"/>
                      <w:color w:val="000000"/>
                    </w:rPr>
                    <w:t>距离西侧边界2m</w:t>
                  </w:r>
                </w:p>
              </w:tc>
              <w:tc>
                <w:tcPr>
                  <w:tcW w:w="900" w:type="dxa"/>
                  <w:shd w:val="clear" w:color="auto" w:fill="auto"/>
                  <w:vAlign w:val="center"/>
                </w:tcPr>
                <w:p>
                  <w:pPr>
                    <w:pStyle w:val="244"/>
                    <w:rPr>
                      <w:rFonts w:eastAsia="仿宋_GB2312"/>
                      <w:color w:val="000000"/>
                    </w:rPr>
                  </w:pPr>
                  <w:r>
                    <w:rPr>
                      <w:rFonts w:eastAsia="仿宋_GB2312"/>
                      <w:color w:val="000000"/>
                    </w:rPr>
                    <w:t>选用低噪声风机、</w:t>
                  </w:r>
                  <w:r>
                    <w:rPr>
                      <w:rFonts w:hint="eastAsia" w:eastAsia="仿宋_GB2312"/>
                      <w:color w:val="000000"/>
                    </w:rPr>
                    <w:t>设备隔声、</w:t>
                  </w:r>
                  <w:r>
                    <w:rPr>
                      <w:rFonts w:eastAsia="仿宋_GB2312"/>
                      <w:color w:val="000000"/>
                    </w:rPr>
                    <w:t>基础减震</w:t>
                  </w:r>
                </w:p>
              </w:tc>
              <w:tc>
                <w:tcPr>
                  <w:tcW w:w="1173" w:type="dxa"/>
                  <w:shd w:val="clear" w:color="auto" w:fill="auto"/>
                  <w:vAlign w:val="center"/>
                </w:tcPr>
                <w:p>
                  <w:pPr>
                    <w:pStyle w:val="244"/>
                    <w:rPr>
                      <w:rFonts w:eastAsia="仿宋_GB2312"/>
                      <w:color w:val="000000"/>
                    </w:rPr>
                  </w:pPr>
                  <w:r>
                    <w:rPr>
                      <w:rFonts w:eastAsia="仿宋_GB2312"/>
                      <w:color w:val="000000"/>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3" w:type="dxa"/>
                  <w:shd w:val="clear" w:color="auto" w:fill="auto"/>
                  <w:vAlign w:val="center"/>
                </w:tcPr>
                <w:p>
                  <w:pPr>
                    <w:pStyle w:val="244"/>
                    <w:rPr>
                      <w:rFonts w:eastAsia="仿宋_GB2312"/>
                      <w:snapToGrid w:val="0"/>
                      <w:color w:val="000000"/>
                      <w:kern w:val="0"/>
                    </w:rPr>
                  </w:pPr>
                  <w:r>
                    <w:rPr>
                      <w:rFonts w:hint="eastAsia" w:eastAsia="仿宋_GB2312"/>
                      <w:snapToGrid w:val="0"/>
                      <w:color w:val="000000"/>
                      <w:kern w:val="0"/>
                    </w:rPr>
                    <w:t>2</w:t>
                  </w:r>
                </w:p>
              </w:tc>
              <w:tc>
                <w:tcPr>
                  <w:tcW w:w="688" w:type="dxa"/>
                  <w:shd w:val="clear" w:color="auto" w:fill="auto"/>
                  <w:vAlign w:val="center"/>
                </w:tcPr>
                <w:p>
                  <w:pPr>
                    <w:pStyle w:val="244"/>
                    <w:rPr>
                      <w:rFonts w:eastAsia="仿宋_GB2312"/>
                      <w:snapToGrid w:val="0"/>
                      <w:color w:val="000000"/>
                      <w:kern w:val="0"/>
                    </w:rPr>
                  </w:pPr>
                  <w:r>
                    <w:rPr>
                      <w:rFonts w:hint="eastAsia" w:eastAsia="仿宋_GB2312"/>
                      <w:snapToGrid w:val="0"/>
                      <w:color w:val="000000"/>
                      <w:kern w:val="0"/>
                    </w:rPr>
                    <w:t>空调外机</w:t>
                  </w:r>
                </w:p>
              </w:tc>
              <w:tc>
                <w:tcPr>
                  <w:tcW w:w="1171" w:type="dxa"/>
                  <w:shd w:val="clear" w:color="auto" w:fill="auto"/>
                  <w:vAlign w:val="center"/>
                </w:tcPr>
                <w:p>
                  <w:pPr>
                    <w:pStyle w:val="244"/>
                    <w:rPr>
                      <w:rFonts w:eastAsia="仿宋_GB2312"/>
                      <w:color w:val="000000"/>
                    </w:rPr>
                  </w:pPr>
                  <w:r>
                    <w:rPr>
                      <w:rFonts w:hint="eastAsia" w:eastAsia="仿宋_GB2312"/>
                      <w:color w:val="000000"/>
                    </w:rPr>
                    <w:t>6</w:t>
                  </w:r>
                  <w:r>
                    <w:rPr>
                      <w:rFonts w:eastAsia="仿宋_GB2312"/>
                      <w:color w:val="000000"/>
                    </w:rPr>
                    <w:t>0</w:t>
                  </w:r>
                </w:p>
              </w:tc>
              <w:tc>
                <w:tcPr>
                  <w:tcW w:w="721" w:type="dxa"/>
                  <w:shd w:val="clear" w:color="auto" w:fill="auto"/>
                  <w:vAlign w:val="center"/>
                </w:tcPr>
                <w:p>
                  <w:pPr>
                    <w:pStyle w:val="244"/>
                    <w:rPr>
                      <w:rFonts w:eastAsia="仿宋_GB2312"/>
                      <w:snapToGrid w:val="0"/>
                      <w:color w:val="000000"/>
                      <w:kern w:val="0"/>
                    </w:rPr>
                  </w:pPr>
                  <w:r>
                    <w:rPr>
                      <w:rFonts w:hint="eastAsia" w:eastAsia="仿宋_GB2312"/>
                      <w:snapToGrid w:val="0"/>
                      <w:color w:val="000000"/>
                      <w:kern w:val="0"/>
                    </w:rPr>
                    <w:t>白天连续</w:t>
                  </w:r>
                </w:p>
              </w:tc>
              <w:tc>
                <w:tcPr>
                  <w:tcW w:w="846" w:type="dxa"/>
                  <w:vAlign w:val="center"/>
                </w:tcPr>
                <w:p>
                  <w:pPr>
                    <w:pStyle w:val="244"/>
                    <w:rPr>
                      <w:rFonts w:eastAsia="仿宋_GB2312"/>
                      <w:color w:val="000000"/>
                    </w:rPr>
                  </w:pPr>
                  <w:r>
                    <w:rPr>
                      <w:rFonts w:hint="eastAsia" w:eastAsia="仿宋_GB2312"/>
                      <w:color w:val="000000"/>
                    </w:rPr>
                    <w:t>1</w:t>
                  </w:r>
                  <w:r>
                    <w:rPr>
                      <w:rFonts w:eastAsia="仿宋_GB2312"/>
                      <w:color w:val="000000"/>
                    </w:rPr>
                    <w:t>08</w:t>
                  </w:r>
                </w:p>
              </w:tc>
              <w:tc>
                <w:tcPr>
                  <w:tcW w:w="936" w:type="dxa"/>
                  <w:shd w:val="clear" w:color="auto" w:fill="auto"/>
                  <w:vAlign w:val="center"/>
                </w:tcPr>
                <w:p>
                  <w:pPr>
                    <w:pStyle w:val="244"/>
                    <w:rPr>
                      <w:rFonts w:eastAsia="仿宋_GB2312"/>
                      <w:color w:val="000000"/>
                    </w:rPr>
                  </w:pPr>
                  <w:r>
                    <w:rPr>
                      <w:rFonts w:hint="eastAsia" w:eastAsia="仿宋_GB2312"/>
                      <w:color w:val="000000"/>
                    </w:rPr>
                    <w:t>每个房间外墙</w:t>
                  </w:r>
                </w:p>
              </w:tc>
              <w:tc>
                <w:tcPr>
                  <w:tcW w:w="1219" w:type="dxa"/>
                  <w:vAlign w:val="center"/>
                </w:tcPr>
                <w:p>
                  <w:pPr>
                    <w:pStyle w:val="244"/>
                    <w:rPr>
                      <w:rFonts w:eastAsia="仿宋_GB2312"/>
                      <w:color w:val="000000"/>
                    </w:rPr>
                  </w:pPr>
                  <w:r>
                    <w:rPr>
                      <w:rFonts w:hint="eastAsia" w:eastAsia="仿宋_GB2312"/>
                      <w:color w:val="000000"/>
                    </w:rPr>
                    <w:t>距离北侧边界2m</w:t>
                  </w:r>
                </w:p>
              </w:tc>
              <w:tc>
                <w:tcPr>
                  <w:tcW w:w="900" w:type="dxa"/>
                  <w:shd w:val="clear" w:color="auto" w:fill="auto"/>
                  <w:vAlign w:val="center"/>
                </w:tcPr>
                <w:p>
                  <w:pPr>
                    <w:pStyle w:val="244"/>
                    <w:rPr>
                      <w:rFonts w:eastAsia="仿宋_GB2312"/>
                      <w:color w:val="000000"/>
                    </w:rPr>
                  </w:pPr>
                  <w:r>
                    <w:rPr>
                      <w:rFonts w:hint="eastAsia" w:eastAsia="仿宋_GB2312"/>
                      <w:color w:val="000000"/>
                    </w:rPr>
                    <w:t>选用低噪声空调外机、基础减震</w:t>
                  </w:r>
                </w:p>
              </w:tc>
              <w:tc>
                <w:tcPr>
                  <w:tcW w:w="1173" w:type="dxa"/>
                  <w:shd w:val="clear" w:color="auto" w:fill="auto"/>
                  <w:vAlign w:val="center"/>
                </w:tcPr>
                <w:p>
                  <w:pPr>
                    <w:pStyle w:val="244"/>
                    <w:rPr>
                      <w:rFonts w:eastAsia="仿宋_GB2312"/>
                      <w:color w:val="000000"/>
                    </w:rPr>
                  </w:pPr>
                  <w:r>
                    <w:rPr>
                      <w:rFonts w:eastAsia="仿宋_GB2312"/>
                      <w:color w:val="000000"/>
                    </w:rPr>
                    <w:t>20</w:t>
                  </w:r>
                </w:p>
              </w:tc>
            </w:tr>
            <w:bookmarkEnd w:id="13"/>
          </w:tbl>
          <w:p>
            <w:pPr>
              <w:adjustRightInd w:val="0"/>
              <w:snapToGrid w:val="0"/>
              <w:spacing w:line="480" w:lineRule="exact"/>
              <w:rPr>
                <w:rFonts w:ascii="Times New Roman" w:hAnsi="Times New Roman" w:eastAsia="仿宋_GB2312"/>
                <w:b w:val="0"/>
                <w:color w:val="000000"/>
                <w:sz w:val="24"/>
                <w:szCs w:val="24"/>
              </w:rPr>
            </w:pPr>
          </w:p>
        </w:tc>
      </w:tr>
    </w:tbl>
    <w:p>
      <w:pPr>
        <w:widowControl/>
        <w:jc w:val="left"/>
      </w:pPr>
    </w:p>
    <w:p>
      <w:pPr>
        <w:widowControl/>
        <w:jc w:val="left"/>
        <w:rPr>
          <w:rFonts w:ascii="Times New Roman" w:hAnsi="Times New Roman"/>
          <w:sz w:val="24"/>
          <w:szCs w:val="24"/>
        </w:rPr>
      </w:pPr>
      <w:r>
        <w:br w:type="page"/>
      </w:r>
    </w:p>
    <w:p>
      <w:pPr>
        <w:pStyle w:val="248"/>
        <w:sectPr>
          <w:pgSz w:w="11907" w:h="16840"/>
          <w:pgMar w:top="1440" w:right="1797" w:bottom="1440" w:left="1797" w:header="851" w:footer="992" w:gutter="0"/>
          <w:cols w:space="720" w:num="1"/>
          <w:titlePg/>
          <w:docGrid w:linePitch="312" w:charSpace="0"/>
        </w:sectPr>
      </w:pP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六、项目主要污染物产生及预计排放情况</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008"/>
        <w:gridCol w:w="1219"/>
        <w:gridCol w:w="932"/>
        <w:gridCol w:w="1269"/>
        <w:gridCol w:w="1107"/>
        <w:gridCol w:w="1015"/>
        <w:gridCol w:w="1093"/>
        <w:gridCol w:w="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79" w:type="pct"/>
            <w:vAlign w:val="center"/>
          </w:tcPr>
          <w:p>
            <w:pPr>
              <w:pStyle w:val="92"/>
              <w:rPr>
                <w:rFonts w:eastAsia="仿宋_GB2312"/>
                <w:b/>
                <w:sz w:val="18"/>
                <w:szCs w:val="18"/>
              </w:rPr>
            </w:pPr>
            <w:r>
              <w:rPr>
                <w:rFonts w:eastAsia="仿宋_GB2312"/>
                <w:b/>
                <w:sz w:val="18"/>
                <w:szCs w:val="18"/>
              </w:rPr>
              <w:t>种类</w:t>
            </w:r>
          </w:p>
        </w:tc>
        <w:tc>
          <w:tcPr>
            <w:tcW w:w="591" w:type="pct"/>
            <w:vAlign w:val="center"/>
          </w:tcPr>
          <w:p>
            <w:pPr>
              <w:pStyle w:val="92"/>
              <w:rPr>
                <w:rFonts w:eastAsia="仿宋_GB2312"/>
                <w:b/>
                <w:sz w:val="18"/>
                <w:szCs w:val="18"/>
              </w:rPr>
            </w:pPr>
            <w:r>
              <w:rPr>
                <w:rFonts w:eastAsia="仿宋_GB2312"/>
                <w:b/>
                <w:sz w:val="18"/>
                <w:szCs w:val="18"/>
              </w:rPr>
              <w:t>排放源</w:t>
            </w:r>
          </w:p>
        </w:tc>
        <w:tc>
          <w:tcPr>
            <w:tcW w:w="715" w:type="pct"/>
            <w:tcBorders>
              <w:bottom w:val="single" w:color="auto" w:sz="4" w:space="0"/>
            </w:tcBorders>
            <w:vAlign w:val="center"/>
          </w:tcPr>
          <w:p>
            <w:pPr>
              <w:pStyle w:val="92"/>
              <w:rPr>
                <w:rFonts w:eastAsia="仿宋_GB2312"/>
                <w:b/>
                <w:sz w:val="18"/>
                <w:szCs w:val="18"/>
              </w:rPr>
            </w:pPr>
            <w:r>
              <w:rPr>
                <w:rFonts w:eastAsia="仿宋_GB2312"/>
                <w:b/>
                <w:sz w:val="18"/>
                <w:szCs w:val="18"/>
              </w:rPr>
              <w:t>污染物</w:t>
            </w:r>
          </w:p>
          <w:p>
            <w:pPr>
              <w:pStyle w:val="92"/>
              <w:rPr>
                <w:rFonts w:eastAsia="仿宋_GB2312"/>
                <w:b/>
                <w:sz w:val="18"/>
                <w:szCs w:val="18"/>
              </w:rPr>
            </w:pPr>
            <w:r>
              <w:rPr>
                <w:rFonts w:eastAsia="仿宋_GB2312"/>
                <w:b/>
                <w:sz w:val="18"/>
                <w:szCs w:val="18"/>
              </w:rPr>
              <w:t>名称</w:t>
            </w:r>
          </w:p>
        </w:tc>
        <w:tc>
          <w:tcPr>
            <w:tcW w:w="546" w:type="pct"/>
            <w:tcBorders>
              <w:bottom w:val="single" w:color="auto" w:sz="4" w:space="0"/>
            </w:tcBorders>
            <w:vAlign w:val="center"/>
          </w:tcPr>
          <w:p>
            <w:pPr>
              <w:pStyle w:val="92"/>
              <w:rPr>
                <w:rFonts w:eastAsia="仿宋_GB2312"/>
                <w:b/>
                <w:sz w:val="18"/>
                <w:szCs w:val="18"/>
              </w:rPr>
            </w:pPr>
            <w:r>
              <w:rPr>
                <w:rFonts w:eastAsia="仿宋_GB2312"/>
                <w:b/>
                <w:sz w:val="18"/>
                <w:szCs w:val="18"/>
              </w:rPr>
              <w:t>产生浓度（mg/m</w:t>
            </w:r>
            <w:r>
              <w:rPr>
                <w:rFonts w:eastAsia="仿宋_GB2312"/>
                <w:b/>
                <w:sz w:val="18"/>
                <w:szCs w:val="18"/>
                <w:vertAlign w:val="superscript"/>
              </w:rPr>
              <w:t>3</w:t>
            </w:r>
            <w:r>
              <w:rPr>
                <w:rFonts w:eastAsia="仿宋_GB2312"/>
                <w:b/>
                <w:sz w:val="18"/>
                <w:szCs w:val="18"/>
              </w:rPr>
              <w:t>）</w:t>
            </w:r>
          </w:p>
        </w:tc>
        <w:tc>
          <w:tcPr>
            <w:tcW w:w="744" w:type="pct"/>
            <w:tcBorders>
              <w:bottom w:val="single" w:color="auto" w:sz="4" w:space="0"/>
            </w:tcBorders>
            <w:vAlign w:val="center"/>
          </w:tcPr>
          <w:p>
            <w:pPr>
              <w:pStyle w:val="92"/>
              <w:rPr>
                <w:rFonts w:eastAsia="仿宋_GB2312"/>
                <w:b/>
                <w:sz w:val="18"/>
                <w:szCs w:val="18"/>
              </w:rPr>
            </w:pPr>
            <w:r>
              <w:rPr>
                <w:rFonts w:eastAsia="仿宋_GB2312"/>
                <w:b/>
                <w:sz w:val="18"/>
                <w:szCs w:val="18"/>
              </w:rPr>
              <w:t>产生量（</w:t>
            </w:r>
            <w:r>
              <w:rPr>
                <w:rFonts w:hint="eastAsia" w:eastAsia="仿宋_GB2312"/>
                <w:b/>
                <w:sz w:val="18"/>
                <w:szCs w:val="18"/>
              </w:rPr>
              <w:t>t</w:t>
            </w:r>
            <w:r>
              <w:rPr>
                <w:rFonts w:eastAsia="仿宋_GB2312"/>
                <w:b/>
                <w:sz w:val="18"/>
                <w:szCs w:val="18"/>
              </w:rPr>
              <w:t>/a）</w:t>
            </w:r>
          </w:p>
        </w:tc>
        <w:tc>
          <w:tcPr>
            <w:tcW w:w="649" w:type="pct"/>
            <w:tcBorders>
              <w:bottom w:val="single" w:color="auto" w:sz="4" w:space="0"/>
            </w:tcBorders>
            <w:vAlign w:val="center"/>
          </w:tcPr>
          <w:p>
            <w:pPr>
              <w:pStyle w:val="92"/>
              <w:rPr>
                <w:rFonts w:eastAsia="仿宋_GB2312"/>
                <w:b/>
                <w:sz w:val="18"/>
                <w:szCs w:val="18"/>
              </w:rPr>
            </w:pPr>
            <w:r>
              <w:rPr>
                <w:rFonts w:eastAsia="仿宋_GB2312"/>
                <w:b/>
                <w:sz w:val="18"/>
                <w:szCs w:val="18"/>
              </w:rPr>
              <w:t>排放浓度（mg/m</w:t>
            </w:r>
            <w:r>
              <w:rPr>
                <w:rFonts w:eastAsia="仿宋_GB2312"/>
                <w:b/>
                <w:sz w:val="18"/>
                <w:szCs w:val="18"/>
                <w:vertAlign w:val="superscript"/>
              </w:rPr>
              <w:t>3</w:t>
            </w:r>
            <w:r>
              <w:rPr>
                <w:rFonts w:eastAsia="仿宋_GB2312"/>
                <w:b/>
                <w:sz w:val="18"/>
                <w:szCs w:val="18"/>
              </w:rPr>
              <w:t>）</w:t>
            </w:r>
          </w:p>
        </w:tc>
        <w:tc>
          <w:tcPr>
            <w:tcW w:w="595" w:type="pct"/>
            <w:tcBorders>
              <w:bottom w:val="single" w:color="auto" w:sz="4" w:space="0"/>
            </w:tcBorders>
            <w:vAlign w:val="center"/>
          </w:tcPr>
          <w:p>
            <w:pPr>
              <w:pStyle w:val="92"/>
              <w:rPr>
                <w:rFonts w:eastAsia="仿宋_GB2312"/>
                <w:b/>
                <w:sz w:val="18"/>
                <w:szCs w:val="18"/>
              </w:rPr>
            </w:pPr>
            <w:r>
              <w:rPr>
                <w:rFonts w:eastAsia="仿宋_GB2312"/>
                <w:b/>
                <w:sz w:val="18"/>
                <w:szCs w:val="18"/>
              </w:rPr>
              <w:t>排放速率（kg/h）</w:t>
            </w:r>
          </w:p>
        </w:tc>
        <w:tc>
          <w:tcPr>
            <w:tcW w:w="641" w:type="pct"/>
            <w:tcBorders>
              <w:bottom w:val="single" w:color="auto" w:sz="4" w:space="0"/>
            </w:tcBorders>
            <w:vAlign w:val="center"/>
          </w:tcPr>
          <w:p>
            <w:pPr>
              <w:pStyle w:val="92"/>
              <w:rPr>
                <w:rFonts w:eastAsia="仿宋_GB2312"/>
                <w:b/>
                <w:sz w:val="18"/>
                <w:szCs w:val="18"/>
              </w:rPr>
            </w:pPr>
            <w:r>
              <w:rPr>
                <w:rFonts w:eastAsia="仿宋_GB2312"/>
                <w:b/>
                <w:sz w:val="18"/>
                <w:szCs w:val="18"/>
              </w:rPr>
              <w:t>排放量（</w:t>
            </w:r>
            <w:r>
              <w:rPr>
                <w:rFonts w:hint="eastAsia" w:eastAsia="仿宋_GB2312"/>
                <w:b/>
                <w:sz w:val="18"/>
                <w:szCs w:val="18"/>
              </w:rPr>
              <w:t>t</w:t>
            </w:r>
            <w:r>
              <w:rPr>
                <w:rFonts w:eastAsia="仿宋_GB2312"/>
                <w:b/>
                <w:sz w:val="18"/>
                <w:szCs w:val="18"/>
              </w:rPr>
              <w:t>/a）</w:t>
            </w:r>
          </w:p>
        </w:tc>
        <w:tc>
          <w:tcPr>
            <w:tcW w:w="240" w:type="pct"/>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排放</w:t>
            </w:r>
          </w:p>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restart"/>
            <w:vAlign w:val="center"/>
          </w:tcPr>
          <w:p>
            <w:pPr>
              <w:pStyle w:val="92"/>
              <w:rPr>
                <w:rFonts w:eastAsia="仿宋_GB2312"/>
                <w:b/>
                <w:sz w:val="18"/>
                <w:szCs w:val="18"/>
              </w:rPr>
            </w:pPr>
            <w:r>
              <w:rPr>
                <w:rFonts w:eastAsia="仿宋_GB2312"/>
                <w:b/>
                <w:sz w:val="18"/>
                <w:szCs w:val="18"/>
              </w:rPr>
              <w:t>大气污染物</w:t>
            </w:r>
          </w:p>
        </w:tc>
        <w:tc>
          <w:tcPr>
            <w:tcW w:w="591" w:type="pct"/>
            <w:vMerge w:val="restart"/>
            <w:vAlign w:val="center"/>
          </w:tcPr>
          <w:p>
            <w:pPr>
              <w:pStyle w:val="92"/>
              <w:rPr>
                <w:rFonts w:eastAsia="仿宋_GB2312"/>
                <w:sz w:val="18"/>
                <w:szCs w:val="18"/>
              </w:rPr>
            </w:pPr>
            <w:r>
              <w:rPr>
                <w:rFonts w:hint="eastAsia" w:eastAsia="仿宋_GB2312"/>
                <w:sz w:val="18"/>
                <w:szCs w:val="18"/>
              </w:rPr>
              <w:t>科研实验及检测（有组织）</w:t>
            </w:r>
          </w:p>
        </w:tc>
        <w:tc>
          <w:tcPr>
            <w:tcW w:w="715" w:type="pct"/>
            <w:tcBorders>
              <w:top w:val="single" w:color="auto" w:sz="4" w:space="0"/>
              <w:right w:val="single" w:color="auto" w:sz="4" w:space="0"/>
            </w:tcBorders>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氯化氢</w:t>
            </w:r>
          </w:p>
        </w:tc>
        <w:tc>
          <w:tcPr>
            <w:tcW w:w="546"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.013</w:t>
            </w:r>
          </w:p>
        </w:tc>
        <w:tc>
          <w:tcPr>
            <w:tcW w:w="744" w:type="pct"/>
            <w:tcBorders>
              <w:top w:val="single" w:color="auto" w:sz="4" w:space="0"/>
              <w:left w:val="nil"/>
              <w:bottom w:val="single" w:color="auto" w:sz="4" w:space="0"/>
              <w:right w:val="single" w:color="auto" w:sz="4" w:space="0"/>
            </w:tcBorders>
            <w:shd w:val="clear" w:color="auto" w:fill="auto"/>
          </w:tcPr>
          <w:p>
            <w:pPr>
              <w:jc w:val="center"/>
              <w:rPr>
                <w:rFonts w:ascii="Times New Roman" w:hAnsi="Times New Roman" w:eastAsia="仿宋_GB2312"/>
                <w:sz w:val="18"/>
                <w:szCs w:val="18"/>
              </w:rPr>
            </w:pPr>
            <w:r>
              <w:rPr>
                <w:rFonts w:ascii="Times New Roman" w:hAnsi="Times New Roman"/>
                <w:sz w:val="18"/>
                <w:szCs w:val="18"/>
              </w:rPr>
              <w:t>0.00074</w:t>
            </w:r>
          </w:p>
        </w:tc>
        <w:tc>
          <w:tcPr>
            <w:tcW w:w="649" w:type="pct"/>
            <w:tcBorders>
              <w:top w:val="single" w:color="auto" w:sz="4" w:space="0"/>
              <w:left w:val="nil"/>
              <w:bottom w:val="single" w:color="auto" w:sz="4" w:space="0"/>
              <w:right w:val="single" w:color="auto" w:sz="4" w:space="0"/>
            </w:tcBorders>
          </w:tcPr>
          <w:p>
            <w:pPr>
              <w:jc w:val="center"/>
              <w:rPr>
                <w:rFonts w:ascii="Times New Roman" w:hAnsi="Times New Roman" w:eastAsia="仿宋_GB2312"/>
                <w:sz w:val="18"/>
                <w:szCs w:val="18"/>
              </w:rPr>
            </w:pPr>
            <w:r>
              <w:rPr>
                <w:rFonts w:ascii="Times New Roman" w:hAnsi="Times New Roman"/>
                <w:sz w:val="18"/>
                <w:szCs w:val="18"/>
              </w:rPr>
              <w:t>0.013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.0004</w:t>
            </w:r>
          </w:p>
        </w:tc>
        <w:tc>
          <w:tcPr>
            <w:tcW w:w="641"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.00074</w:t>
            </w:r>
          </w:p>
        </w:tc>
        <w:tc>
          <w:tcPr>
            <w:tcW w:w="240" w:type="pct"/>
            <w:vMerge w:val="restart"/>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tcBorders>
              <w:right w:val="single" w:color="auto" w:sz="4" w:space="0"/>
            </w:tcBorders>
            <w:vAlign w:val="center"/>
          </w:tcPr>
          <w:p>
            <w:pPr>
              <w:widowControl/>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硫酸雾</w:t>
            </w:r>
          </w:p>
        </w:tc>
        <w:tc>
          <w:tcPr>
            <w:tcW w:w="546"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.017</w:t>
            </w:r>
          </w:p>
        </w:tc>
        <w:tc>
          <w:tcPr>
            <w:tcW w:w="744" w:type="pct"/>
            <w:tcBorders>
              <w:top w:val="nil"/>
              <w:left w:val="nil"/>
              <w:bottom w:val="single" w:color="auto" w:sz="4" w:space="0"/>
              <w:right w:val="single" w:color="auto" w:sz="4" w:space="0"/>
            </w:tcBorders>
            <w:shd w:val="clear" w:color="auto" w:fill="auto"/>
          </w:tcPr>
          <w:p>
            <w:pPr>
              <w:jc w:val="center"/>
              <w:rPr>
                <w:rFonts w:ascii="Times New Roman" w:hAnsi="Times New Roman" w:eastAsia="仿宋_GB2312"/>
                <w:sz w:val="18"/>
                <w:szCs w:val="18"/>
              </w:rPr>
            </w:pPr>
            <w:r>
              <w:rPr>
                <w:rFonts w:ascii="Times New Roman" w:hAnsi="Times New Roman"/>
                <w:sz w:val="18"/>
                <w:szCs w:val="18"/>
              </w:rPr>
              <w:t>0.000931</w:t>
            </w:r>
          </w:p>
        </w:tc>
        <w:tc>
          <w:tcPr>
            <w:tcW w:w="649" w:type="pct"/>
            <w:tcBorders>
              <w:top w:val="single" w:color="auto" w:sz="4" w:space="0"/>
              <w:left w:val="nil"/>
              <w:bottom w:val="single" w:color="auto" w:sz="4" w:space="0"/>
              <w:right w:val="single" w:color="auto" w:sz="4" w:space="0"/>
            </w:tcBorders>
          </w:tcPr>
          <w:p>
            <w:pPr>
              <w:jc w:val="center"/>
              <w:rPr>
                <w:rFonts w:ascii="Times New Roman" w:hAnsi="Times New Roman" w:eastAsia="仿宋_GB2312"/>
                <w:sz w:val="18"/>
                <w:szCs w:val="18"/>
              </w:rPr>
            </w:pPr>
            <w:r>
              <w:rPr>
                <w:rFonts w:ascii="Times New Roman" w:hAnsi="Times New Roman"/>
                <w:sz w:val="18"/>
                <w:szCs w:val="18"/>
              </w:rPr>
              <w:t>0.017</w:t>
            </w:r>
          </w:p>
        </w:tc>
        <w:tc>
          <w:tcPr>
            <w:tcW w:w="5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.0005</w:t>
            </w:r>
          </w:p>
        </w:tc>
        <w:tc>
          <w:tcPr>
            <w:tcW w:w="64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.000931</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tcBorders>
              <w:right w:val="single" w:color="auto" w:sz="4" w:space="0"/>
            </w:tcBorders>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氮氧化物</w:t>
            </w:r>
          </w:p>
        </w:tc>
        <w:tc>
          <w:tcPr>
            <w:tcW w:w="546"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.005</w:t>
            </w:r>
          </w:p>
        </w:tc>
        <w:tc>
          <w:tcPr>
            <w:tcW w:w="744" w:type="pct"/>
            <w:tcBorders>
              <w:top w:val="nil"/>
              <w:left w:val="nil"/>
              <w:bottom w:val="single" w:color="auto" w:sz="4" w:space="0"/>
              <w:right w:val="single" w:color="auto" w:sz="4" w:space="0"/>
            </w:tcBorders>
            <w:shd w:val="clear" w:color="auto" w:fill="auto"/>
          </w:tcPr>
          <w:p>
            <w:pPr>
              <w:jc w:val="center"/>
              <w:rPr>
                <w:rFonts w:ascii="Times New Roman" w:hAnsi="Times New Roman" w:eastAsia="仿宋_GB2312"/>
                <w:sz w:val="18"/>
                <w:szCs w:val="18"/>
              </w:rPr>
            </w:pPr>
            <w:r>
              <w:rPr>
                <w:rFonts w:ascii="Times New Roman" w:hAnsi="Times New Roman"/>
                <w:sz w:val="18"/>
                <w:szCs w:val="18"/>
              </w:rPr>
              <w:t>0.000276</w:t>
            </w:r>
          </w:p>
        </w:tc>
        <w:tc>
          <w:tcPr>
            <w:tcW w:w="649" w:type="pct"/>
            <w:tcBorders>
              <w:top w:val="single" w:color="auto" w:sz="4" w:space="0"/>
              <w:left w:val="nil"/>
              <w:bottom w:val="single" w:color="auto" w:sz="4" w:space="0"/>
              <w:right w:val="single" w:color="auto" w:sz="4" w:space="0"/>
            </w:tcBorders>
          </w:tcPr>
          <w:p>
            <w:pPr>
              <w:jc w:val="center"/>
              <w:rPr>
                <w:rFonts w:ascii="Times New Roman" w:hAnsi="Times New Roman" w:eastAsia="仿宋_GB2312"/>
                <w:sz w:val="18"/>
                <w:szCs w:val="18"/>
              </w:rPr>
            </w:pPr>
            <w:r>
              <w:rPr>
                <w:rFonts w:ascii="Times New Roman" w:hAnsi="Times New Roman"/>
                <w:sz w:val="18"/>
                <w:szCs w:val="18"/>
              </w:rPr>
              <w:t>0.005</w:t>
            </w:r>
          </w:p>
        </w:tc>
        <w:tc>
          <w:tcPr>
            <w:tcW w:w="5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.00014</w:t>
            </w:r>
          </w:p>
        </w:tc>
        <w:tc>
          <w:tcPr>
            <w:tcW w:w="64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.000276</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tcBorders>
              <w:right w:val="single" w:color="auto" w:sz="4" w:space="0"/>
            </w:tcBorders>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氟化物</w:t>
            </w:r>
          </w:p>
        </w:tc>
        <w:tc>
          <w:tcPr>
            <w:tcW w:w="546" w:type="pct"/>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.003</w:t>
            </w:r>
          </w:p>
        </w:tc>
        <w:tc>
          <w:tcPr>
            <w:tcW w:w="744" w:type="pct"/>
            <w:tcBorders>
              <w:top w:val="nil"/>
              <w:left w:val="nil"/>
              <w:bottom w:val="single" w:color="auto" w:sz="4" w:space="0"/>
              <w:right w:val="single" w:color="auto" w:sz="4" w:space="0"/>
            </w:tcBorders>
            <w:shd w:val="clear" w:color="auto" w:fill="auto"/>
          </w:tcPr>
          <w:p>
            <w:pPr>
              <w:jc w:val="center"/>
              <w:rPr>
                <w:rFonts w:ascii="Times New Roman" w:hAnsi="Times New Roman" w:eastAsia="仿宋_GB2312"/>
                <w:sz w:val="18"/>
                <w:szCs w:val="18"/>
              </w:rPr>
            </w:pPr>
            <w:r>
              <w:rPr>
                <w:rFonts w:ascii="Times New Roman" w:hAnsi="Times New Roman"/>
                <w:sz w:val="18"/>
                <w:szCs w:val="18"/>
              </w:rPr>
              <w:t>0.000192</w:t>
            </w:r>
          </w:p>
        </w:tc>
        <w:tc>
          <w:tcPr>
            <w:tcW w:w="649" w:type="pct"/>
            <w:tcBorders>
              <w:top w:val="single" w:color="auto" w:sz="4" w:space="0"/>
              <w:left w:val="nil"/>
              <w:bottom w:val="single" w:color="auto" w:sz="4" w:space="0"/>
              <w:right w:val="single" w:color="auto" w:sz="4" w:space="0"/>
            </w:tcBorders>
          </w:tcPr>
          <w:p>
            <w:pPr>
              <w:jc w:val="center"/>
              <w:rPr>
                <w:rFonts w:ascii="Times New Roman" w:hAnsi="Times New Roman" w:eastAsia="仿宋_GB2312"/>
                <w:sz w:val="18"/>
                <w:szCs w:val="18"/>
              </w:rPr>
            </w:pPr>
            <w:r>
              <w:rPr>
                <w:rFonts w:ascii="Times New Roman" w:hAnsi="Times New Roman"/>
                <w:sz w:val="18"/>
                <w:szCs w:val="18"/>
              </w:rPr>
              <w:t>0.003</w:t>
            </w:r>
          </w:p>
        </w:tc>
        <w:tc>
          <w:tcPr>
            <w:tcW w:w="59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.0001</w:t>
            </w:r>
          </w:p>
        </w:tc>
        <w:tc>
          <w:tcPr>
            <w:tcW w:w="64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.000192</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tcBorders>
              <w:bottom w:val="single" w:color="auto" w:sz="4" w:space="0"/>
            </w:tcBorders>
            <w:vAlign w:val="center"/>
          </w:tcPr>
          <w:p>
            <w:pPr>
              <w:pStyle w:val="11"/>
              <w:adjustRightInd w:val="0"/>
              <w:snapToGrid w:val="0"/>
              <w:ind w:firstLine="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VOCs</w:t>
            </w:r>
          </w:p>
        </w:tc>
        <w:tc>
          <w:tcPr>
            <w:tcW w:w="5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1.06</w:t>
            </w:r>
          </w:p>
        </w:tc>
        <w:tc>
          <w:tcPr>
            <w:tcW w:w="744" w:type="pct"/>
            <w:tcBorders>
              <w:top w:val="single" w:color="auto" w:sz="4" w:space="0"/>
              <w:left w:val="nil"/>
              <w:bottom w:val="single" w:color="auto" w:sz="4" w:space="0"/>
              <w:right w:val="single" w:color="auto" w:sz="4" w:space="0"/>
            </w:tcBorders>
            <w:shd w:val="clear" w:color="auto" w:fill="auto"/>
          </w:tcPr>
          <w:p>
            <w:pPr>
              <w:jc w:val="center"/>
              <w:rPr>
                <w:rFonts w:ascii="Times New Roman" w:hAnsi="Times New Roman" w:eastAsia="仿宋_GB2312"/>
                <w:sz w:val="18"/>
                <w:szCs w:val="18"/>
              </w:rPr>
            </w:pPr>
            <w:r>
              <w:rPr>
                <w:rFonts w:ascii="Times New Roman" w:hAnsi="Times New Roman"/>
                <w:sz w:val="18"/>
                <w:szCs w:val="18"/>
              </w:rPr>
              <w:t>0.064</w:t>
            </w:r>
          </w:p>
        </w:tc>
        <w:tc>
          <w:tcPr>
            <w:tcW w:w="649"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18"/>
                <w:szCs w:val="18"/>
              </w:rPr>
            </w:pPr>
            <w:r>
              <w:rPr>
                <w:rFonts w:ascii="Times New Roman" w:hAnsi="Times New Roman"/>
                <w:sz w:val="18"/>
                <w:szCs w:val="18"/>
              </w:rPr>
              <w:t>0.43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.0128</w:t>
            </w:r>
          </w:p>
        </w:tc>
        <w:tc>
          <w:tcPr>
            <w:tcW w:w="64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.0256</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restart"/>
            <w:vAlign w:val="center"/>
          </w:tcPr>
          <w:p>
            <w:pPr>
              <w:pStyle w:val="92"/>
              <w:rPr>
                <w:rFonts w:eastAsia="仿宋_GB2312"/>
                <w:sz w:val="18"/>
                <w:szCs w:val="18"/>
              </w:rPr>
            </w:pPr>
            <w:r>
              <w:rPr>
                <w:rFonts w:hint="eastAsia" w:eastAsia="仿宋_GB2312"/>
                <w:sz w:val="18"/>
                <w:szCs w:val="18"/>
              </w:rPr>
              <w:t>科研实验及检测（无组织）</w:t>
            </w:r>
          </w:p>
        </w:tc>
        <w:tc>
          <w:tcPr>
            <w:tcW w:w="715" w:type="pct"/>
            <w:tcBorders>
              <w:top w:val="single" w:color="auto" w:sz="4" w:space="0"/>
            </w:tcBorders>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VOCs</w:t>
            </w:r>
          </w:p>
        </w:tc>
        <w:tc>
          <w:tcPr>
            <w:tcW w:w="546" w:type="pct"/>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0.0175</w:t>
            </w:r>
          </w:p>
        </w:tc>
        <w:tc>
          <w:tcPr>
            <w:tcW w:w="649" w:type="pct"/>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59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0.00875</w:t>
            </w:r>
          </w:p>
        </w:tc>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0.0175</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氯化氢</w:t>
            </w:r>
          </w:p>
        </w:tc>
        <w:tc>
          <w:tcPr>
            <w:tcW w:w="546" w:type="pct"/>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.000185</w:t>
            </w:r>
          </w:p>
        </w:tc>
        <w:tc>
          <w:tcPr>
            <w:tcW w:w="649" w:type="pct"/>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59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.0001</w:t>
            </w:r>
          </w:p>
        </w:tc>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.000185</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氮氧化物</w:t>
            </w:r>
          </w:p>
        </w:tc>
        <w:tc>
          <w:tcPr>
            <w:tcW w:w="546" w:type="pct"/>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.000069</w:t>
            </w:r>
          </w:p>
        </w:tc>
        <w:tc>
          <w:tcPr>
            <w:tcW w:w="649" w:type="pct"/>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59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.000034</w:t>
            </w:r>
          </w:p>
        </w:tc>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.000069</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硫酸雾</w:t>
            </w:r>
          </w:p>
        </w:tc>
        <w:tc>
          <w:tcPr>
            <w:tcW w:w="546" w:type="pct"/>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.000233</w:t>
            </w:r>
          </w:p>
        </w:tc>
        <w:tc>
          <w:tcPr>
            <w:tcW w:w="649" w:type="pct"/>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59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.0001</w:t>
            </w:r>
          </w:p>
        </w:tc>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.000233</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pStyle w:val="92"/>
              <w:rPr>
                <w:rFonts w:eastAsia="仿宋_GB2312"/>
                <w:b/>
                <w:sz w:val="18"/>
                <w:szCs w:val="18"/>
              </w:rPr>
            </w:pPr>
          </w:p>
        </w:tc>
        <w:tc>
          <w:tcPr>
            <w:tcW w:w="591" w:type="pct"/>
            <w:vMerge w:val="continue"/>
            <w:vAlign w:val="center"/>
          </w:tcPr>
          <w:p>
            <w:pPr>
              <w:pStyle w:val="92"/>
              <w:rPr>
                <w:rFonts w:eastAsia="仿宋_GB2312"/>
                <w:sz w:val="18"/>
                <w:szCs w:val="18"/>
              </w:rPr>
            </w:pP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氟化物</w:t>
            </w:r>
          </w:p>
        </w:tc>
        <w:tc>
          <w:tcPr>
            <w:tcW w:w="546" w:type="pct"/>
            <w:shd w:val="clear" w:color="auto" w:fill="auto"/>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sz w:val="18"/>
                <w:szCs w:val="18"/>
              </w:rPr>
            </w:pPr>
            <w:r>
              <w:rPr>
                <w:rFonts w:hint="eastAsia" w:ascii="Times New Roman" w:hAnsi="Times New Roman" w:eastAsia="仿宋_GB2312"/>
                <w:sz w:val="18"/>
                <w:szCs w:val="18"/>
              </w:rPr>
              <w:t>0</w:t>
            </w:r>
            <w:r>
              <w:rPr>
                <w:rFonts w:ascii="Times New Roman" w:hAnsi="Times New Roman" w:eastAsia="仿宋_GB2312"/>
                <w:sz w:val="18"/>
                <w:szCs w:val="18"/>
              </w:rPr>
              <w:t>.000048</w:t>
            </w:r>
          </w:p>
        </w:tc>
        <w:tc>
          <w:tcPr>
            <w:tcW w:w="649" w:type="pct"/>
            <w:vAlign w:val="center"/>
          </w:tcPr>
          <w:p>
            <w:pPr>
              <w:jc w:val="center"/>
              <w:rPr>
                <w:rFonts w:ascii="Times New Roman" w:hAnsi="Times New Roman" w:eastAsia="仿宋_GB2312"/>
                <w:sz w:val="18"/>
                <w:szCs w:val="18"/>
              </w:rPr>
            </w:pPr>
            <w:r>
              <w:rPr>
                <w:rFonts w:ascii="Times New Roman" w:hAnsi="Times New Roman" w:eastAsia="仿宋_GB2312"/>
                <w:sz w:val="18"/>
                <w:szCs w:val="18"/>
              </w:rPr>
              <w:t>/</w:t>
            </w:r>
          </w:p>
        </w:tc>
        <w:tc>
          <w:tcPr>
            <w:tcW w:w="59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.000024</w:t>
            </w:r>
          </w:p>
        </w:tc>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.000048</w:t>
            </w:r>
          </w:p>
        </w:tc>
        <w:tc>
          <w:tcPr>
            <w:tcW w:w="240" w:type="pct"/>
            <w:vMerge w:val="continue"/>
            <w:tcBorders>
              <w:left w:val="single" w:color="auto" w:sz="4" w:space="0"/>
            </w:tcBorders>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279" w:type="pct"/>
            <w:vMerge w:val="restart"/>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水污染物</w:t>
            </w:r>
          </w:p>
        </w:tc>
        <w:tc>
          <w:tcPr>
            <w:tcW w:w="591" w:type="pct"/>
            <w:vAlign w:val="center"/>
          </w:tcPr>
          <w:p>
            <w:pPr>
              <w:pStyle w:val="92"/>
              <w:rPr>
                <w:rFonts w:eastAsia="仿宋_GB2312"/>
                <w:sz w:val="18"/>
                <w:szCs w:val="18"/>
              </w:rPr>
            </w:pPr>
            <w:r>
              <w:rPr>
                <w:rFonts w:eastAsia="仿宋_GB2312"/>
                <w:sz w:val="18"/>
                <w:szCs w:val="18"/>
              </w:rPr>
              <w:t>类型</w:t>
            </w:r>
          </w:p>
        </w:tc>
        <w:tc>
          <w:tcPr>
            <w:tcW w:w="715" w:type="pct"/>
            <w:tcBorders>
              <w:top w:val="single" w:color="auto" w:sz="4" w:space="0"/>
            </w:tcBorders>
            <w:vAlign w:val="center"/>
          </w:tcPr>
          <w:p>
            <w:pPr>
              <w:pStyle w:val="92"/>
              <w:rPr>
                <w:rFonts w:eastAsia="仿宋_GB2312"/>
                <w:b/>
                <w:sz w:val="18"/>
                <w:szCs w:val="18"/>
              </w:rPr>
            </w:pPr>
            <w:r>
              <w:rPr>
                <w:rFonts w:eastAsia="仿宋_GB2312"/>
                <w:b/>
                <w:sz w:val="18"/>
                <w:szCs w:val="18"/>
              </w:rPr>
              <w:t>污染物</w:t>
            </w:r>
          </w:p>
          <w:p>
            <w:pPr>
              <w:pStyle w:val="92"/>
              <w:rPr>
                <w:rFonts w:eastAsia="仿宋_GB2312"/>
                <w:b/>
                <w:sz w:val="18"/>
                <w:szCs w:val="18"/>
              </w:rPr>
            </w:pPr>
            <w:r>
              <w:rPr>
                <w:rFonts w:eastAsia="仿宋_GB2312"/>
                <w:b/>
                <w:sz w:val="18"/>
                <w:szCs w:val="18"/>
              </w:rPr>
              <w:t>名称</w:t>
            </w:r>
          </w:p>
        </w:tc>
        <w:tc>
          <w:tcPr>
            <w:tcW w:w="546" w:type="pct"/>
            <w:tcBorders>
              <w:top w:val="single" w:color="auto" w:sz="4" w:space="0"/>
            </w:tcBorders>
            <w:vAlign w:val="center"/>
          </w:tcPr>
          <w:p>
            <w:pPr>
              <w:pStyle w:val="92"/>
              <w:rPr>
                <w:rFonts w:eastAsia="仿宋_GB2312"/>
                <w:b/>
                <w:sz w:val="18"/>
                <w:szCs w:val="18"/>
              </w:rPr>
            </w:pPr>
            <w:r>
              <w:rPr>
                <w:rFonts w:eastAsia="仿宋_GB2312"/>
                <w:b/>
                <w:sz w:val="18"/>
                <w:szCs w:val="18"/>
              </w:rPr>
              <w:t>产生浓度</w:t>
            </w:r>
          </w:p>
          <w:p>
            <w:pPr>
              <w:pStyle w:val="92"/>
              <w:rPr>
                <w:rFonts w:eastAsia="仿宋_GB2312"/>
                <w:b/>
                <w:sz w:val="18"/>
                <w:szCs w:val="18"/>
              </w:rPr>
            </w:pPr>
            <w:r>
              <w:rPr>
                <w:rFonts w:eastAsia="仿宋_GB2312"/>
                <w:b/>
                <w:sz w:val="18"/>
                <w:szCs w:val="18"/>
              </w:rPr>
              <w:t>（mg/L）</w:t>
            </w:r>
          </w:p>
        </w:tc>
        <w:tc>
          <w:tcPr>
            <w:tcW w:w="744" w:type="pct"/>
            <w:tcBorders>
              <w:top w:val="single" w:color="auto" w:sz="4" w:space="0"/>
            </w:tcBorders>
            <w:vAlign w:val="center"/>
          </w:tcPr>
          <w:p>
            <w:pPr>
              <w:pStyle w:val="92"/>
              <w:rPr>
                <w:rFonts w:eastAsia="仿宋_GB2312"/>
                <w:b/>
                <w:sz w:val="18"/>
                <w:szCs w:val="18"/>
              </w:rPr>
            </w:pPr>
            <w:r>
              <w:rPr>
                <w:rFonts w:eastAsia="仿宋_GB2312"/>
                <w:b/>
                <w:sz w:val="18"/>
                <w:szCs w:val="18"/>
              </w:rPr>
              <w:t>产生量</w:t>
            </w:r>
          </w:p>
          <w:p>
            <w:pPr>
              <w:pStyle w:val="92"/>
              <w:rPr>
                <w:rFonts w:eastAsia="仿宋_GB2312"/>
                <w:b/>
                <w:sz w:val="18"/>
                <w:szCs w:val="18"/>
              </w:rPr>
            </w:pPr>
            <w:r>
              <w:rPr>
                <w:rFonts w:eastAsia="仿宋_GB2312"/>
                <w:b/>
                <w:sz w:val="18"/>
                <w:szCs w:val="18"/>
              </w:rPr>
              <w:t>（t/a）</w:t>
            </w:r>
          </w:p>
        </w:tc>
        <w:tc>
          <w:tcPr>
            <w:tcW w:w="649" w:type="pct"/>
            <w:tcBorders>
              <w:top w:val="single" w:color="auto" w:sz="4" w:space="0"/>
            </w:tcBorders>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治理措施</w:t>
            </w:r>
          </w:p>
        </w:tc>
        <w:tc>
          <w:tcPr>
            <w:tcW w:w="595" w:type="pct"/>
            <w:tcBorders>
              <w:top w:val="single" w:color="auto" w:sz="4" w:space="0"/>
            </w:tcBorders>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接管</w:t>
            </w:r>
          </w:p>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浓度</w:t>
            </w:r>
          </w:p>
          <w:p>
            <w:pPr>
              <w:jc w:val="center"/>
              <w:rPr>
                <w:rFonts w:ascii="Times New Roman" w:hAnsi="Times New Roman" w:eastAsia="仿宋_GB2312"/>
                <w:color w:val="000000"/>
                <w:sz w:val="18"/>
                <w:szCs w:val="18"/>
              </w:rPr>
            </w:pPr>
            <w:r>
              <w:rPr>
                <w:rFonts w:ascii="Times New Roman" w:hAnsi="Times New Roman" w:eastAsia="仿宋_GB2312"/>
                <w:b/>
                <w:color w:val="000000"/>
                <w:sz w:val="18"/>
                <w:szCs w:val="18"/>
              </w:rPr>
              <w:t>（mg/L）</w:t>
            </w:r>
          </w:p>
        </w:tc>
        <w:tc>
          <w:tcPr>
            <w:tcW w:w="641" w:type="pct"/>
            <w:tcBorders>
              <w:top w:val="single" w:color="auto" w:sz="4" w:space="0"/>
            </w:tcBorders>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接管量（t/a）</w:t>
            </w:r>
          </w:p>
        </w:tc>
        <w:tc>
          <w:tcPr>
            <w:tcW w:w="240" w:type="pct"/>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排放</w:t>
            </w:r>
          </w:p>
          <w:p>
            <w:pPr>
              <w:pStyle w:val="92"/>
              <w:rPr>
                <w:rFonts w:eastAsia="仿宋_GB2312"/>
                <w:sz w:val="18"/>
                <w:szCs w:val="18"/>
              </w:rPr>
            </w:pPr>
            <w:r>
              <w:rPr>
                <w:rFonts w:eastAsia="仿宋_GB2312"/>
                <w:b/>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92"/>
              <w:rPr>
                <w:rFonts w:eastAsia="仿宋_GB2312"/>
                <w:sz w:val="18"/>
                <w:szCs w:val="18"/>
              </w:rPr>
            </w:pPr>
            <w:r>
              <w:rPr>
                <w:rFonts w:eastAsia="仿宋_GB2312"/>
                <w:sz w:val="18"/>
                <w:szCs w:val="18"/>
              </w:rPr>
              <w:t>生活污水</w:t>
            </w:r>
          </w:p>
          <w:p>
            <w:pPr>
              <w:pStyle w:val="92"/>
              <w:rPr>
                <w:rFonts w:eastAsia="仿宋_GB2312"/>
                <w:sz w:val="18"/>
                <w:szCs w:val="18"/>
              </w:rPr>
            </w:pPr>
            <w:r>
              <w:rPr>
                <w:rFonts w:eastAsia="仿宋_GB2312"/>
                <w:sz w:val="18"/>
                <w:szCs w:val="18"/>
              </w:rPr>
              <w:t>270t/a</w:t>
            </w:r>
          </w:p>
        </w:tc>
        <w:tc>
          <w:tcPr>
            <w:tcW w:w="71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snapToGrid w:val="0"/>
                <w:color w:val="000000"/>
                <w:kern w:val="0"/>
                <w:sz w:val="18"/>
                <w:szCs w:val="18"/>
              </w:rPr>
              <w:t>COD</w:t>
            </w:r>
          </w:p>
        </w:tc>
        <w:tc>
          <w:tcPr>
            <w:tcW w:w="546" w:type="pct"/>
            <w:vAlign w:val="center"/>
          </w:tcPr>
          <w:p>
            <w:pPr>
              <w:widowControl/>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40</w:t>
            </w:r>
            <w:r>
              <w:rPr>
                <w:rFonts w:ascii="Times New Roman" w:hAnsi="Times New Roman" w:eastAsia="仿宋_GB2312"/>
                <w:color w:val="000000"/>
                <w:sz w:val="18"/>
                <w:szCs w:val="18"/>
              </w:rPr>
              <w:t>0</w:t>
            </w:r>
          </w:p>
        </w:tc>
        <w:tc>
          <w:tcPr>
            <w:tcW w:w="744" w:type="pct"/>
            <w:vAlign w:val="center"/>
          </w:tcPr>
          <w:p>
            <w:pPr>
              <w:widowControl/>
              <w:jc w:val="center"/>
              <w:textAlignment w:val="center"/>
              <w:rPr>
                <w:rStyle w:val="47"/>
                <w:rFonts w:ascii="Times New Roman" w:hAnsi="Times New Roman" w:eastAsia="仿宋_GB2312"/>
                <w:b w:val="0"/>
                <w:bCs w:val="0"/>
                <w:color w:val="000000"/>
                <w:sz w:val="18"/>
                <w:szCs w:val="18"/>
              </w:rPr>
            </w:pPr>
            <w:r>
              <w:rPr>
                <w:rStyle w:val="47"/>
                <w:rFonts w:ascii="Times New Roman" w:hAnsi="Times New Roman" w:eastAsia="仿宋_GB2312"/>
                <w:b w:val="0"/>
                <w:bCs w:val="0"/>
                <w:color w:val="000000"/>
                <w:sz w:val="18"/>
                <w:szCs w:val="18"/>
              </w:rPr>
              <w:t>0.</w:t>
            </w:r>
            <w:r>
              <w:rPr>
                <w:rStyle w:val="47"/>
                <w:rFonts w:hint="eastAsia" w:ascii="Times New Roman" w:hAnsi="Times New Roman" w:eastAsia="仿宋_GB2312"/>
                <w:b w:val="0"/>
                <w:bCs w:val="0"/>
                <w:color w:val="000000"/>
                <w:sz w:val="18"/>
                <w:szCs w:val="18"/>
              </w:rPr>
              <w:t>1</w:t>
            </w:r>
            <w:r>
              <w:rPr>
                <w:rStyle w:val="47"/>
                <w:rFonts w:ascii="Times New Roman" w:hAnsi="Times New Roman" w:eastAsia="仿宋_GB2312"/>
                <w:b w:val="0"/>
                <w:bCs w:val="0"/>
                <w:color w:val="000000"/>
                <w:sz w:val="18"/>
                <w:szCs w:val="18"/>
              </w:rPr>
              <w:t>08</w:t>
            </w:r>
          </w:p>
        </w:tc>
        <w:tc>
          <w:tcPr>
            <w:tcW w:w="649" w:type="pct"/>
            <w:vMerge w:val="restart"/>
            <w:vAlign w:val="center"/>
          </w:tcPr>
          <w:p>
            <w:pPr>
              <w:widowControl/>
              <w:jc w:val="center"/>
              <w:textAlignment w:val="center"/>
              <w:rPr>
                <w:rFonts w:ascii="Times New Roman" w:hAnsi="Times New Roman" w:eastAsia="仿宋_GB2312"/>
                <w:iCs/>
                <w:color w:val="000000"/>
                <w:sz w:val="18"/>
                <w:szCs w:val="18"/>
              </w:rPr>
            </w:pPr>
            <w:r>
              <w:rPr>
                <w:rFonts w:ascii="Times New Roman" w:hAnsi="Times New Roman" w:eastAsia="仿宋_GB2312"/>
                <w:iCs/>
                <w:color w:val="000000"/>
                <w:sz w:val="18"/>
                <w:szCs w:val="18"/>
              </w:rPr>
              <w:t>化粪池预处理</w:t>
            </w:r>
          </w:p>
        </w:tc>
        <w:tc>
          <w:tcPr>
            <w:tcW w:w="595" w:type="pct"/>
            <w:vAlign w:val="center"/>
          </w:tcPr>
          <w:p>
            <w:pPr>
              <w:widowControl/>
              <w:jc w:val="center"/>
              <w:textAlignment w:val="center"/>
              <w:rPr>
                <w:rFonts w:ascii="Times New Roman" w:hAnsi="Times New Roman" w:eastAsia="仿宋_GB2312"/>
                <w:iCs/>
                <w:color w:val="000000"/>
                <w:sz w:val="18"/>
                <w:szCs w:val="18"/>
              </w:rPr>
            </w:pPr>
            <w:r>
              <w:rPr>
                <w:rFonts w:ascii="Times New Roman" w:hAnsi="Times New Roman" w:eastAsia="仿宋_GB2312"/>
                <w:iCs/>
                <w:color w:val="000000"/>
                <w:sz w:val="18"/>
                <w:szCs w:val="18"/>
              </w:rPr>
              <w:t>COD 300</w:t>
            </w:r>
          </w:p>
        </w:tc>
        <w:tc>
          <w:tcPr>
            <w:tcW w:w="641" w:type="pct"/>
            <w:vAlign w:val="center"/>
          </w:tcPr>
          <w:p>
            <w:pPr>
              <w:widowControl/>
              <w:jc w:val="center"/>
              <w:textAlignment w:val="center"/>
              <w:rPr>
                <w:rFonts w:ascii="Times New Roman" w:hAnsi="Times New Roman" w:eastAsia="仿宋_GB2312"/>
                <w:iCs/>
                <w:color w:val="000000"/>
                <w:sz w:val="18"/>
                <w:szCs w:val="18"/>
              </w:rPr>
            </w:pPr>
            <w:r>
              <w:rPr>
                <w:rFonts w:ascii="Times New Roman" w:hAnsi="Times New Roman" w:eastAsia="仿宋_GB2312"/>
                <w:iCs/>
                <w:color w:val="000000"/>
                <w:sz w:val="18"/>
                <w:szCs w:val="18"/>
              </w:rPr>
              <w:t>0.08484</w:t>
            </w:r>
          </w:p>
        </w:tc>
        <w:tc>
          <w:tcPr>
            <w:tcW w:w="240" w:type="pct"/>
            <w:vMerge w:val="restart"/>
            <w:vAlign w:val="center"/>
          </w:tcPr>
          <w:p>
            <w:pPr>
              <w:pStyle w:val="92"/>
              <w:rPr>
                <w:rFonts w:eastAsia="仿宋_GB2312"/>
                <w:sz w:val="18"/>
                <w:szCs w:val="18"/>
              </w:rPr>
            </w:pPr>
            <w:r>
              <w:rPr>
                <w:rFonts w:eastAsia="仿宋_GB2312"/>
                <w:sz w:val="18"/>
                <w:szCs w:val="18"/>
              </w:rPr>
              <w:t>接管至江心洲污水处理厂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92"/>
              <w:rPr>
                <w:rFonts w:eastAsia="仿宋_GB2312"/>
                <w:sz w:val="18"/>
                <w:szCs w:val="18"/>
              </w:rPr>
            </w:pPr>
          </w:p>
        </w:tc>
        <w:tc>
          <w:tcPr>
            <w:tcW w:w="71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snapToGrid w:val="0"/>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00</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w:t>
            </w:r>
            <w:r>
              <w:rPr>
                <w:rFonts w:hint="eastAsia" w:ascii="Times New Roman" w:hAnsi="Times New Roman" w:eastAsia="仿宋_GB2312"/>
                <w:color w:val="000000"/>
                <w:sz w:val="18"/>
                <w:szCs w:val="18"/>
              </w:rPr>
              <w:t>8</w:t>
            </w:r>
            <w:r>
              <w:rPr>
                <w:rFonts w:ascii="Times New Roman" w:hAnsi="Times New Roman" w:eastAsia="仿宋_GB2312"/>
                <w:color w:val="000000"/>
                <w:sz w:val="18"/>
                <w:szCs w:val="18"/>
              </w:rPr>
              <w:t>1</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iCs/>
                <w:color w:val="000000"/>
                <w:sz w:val="18"/>
                <w:szCs w:val="18"/>
              </w:rPr>
              <w:t>SS 60</w:t>
            </w:r>
          </w:p>
        </w:tc>
        <w:tc>
          <w:tcPr>
            <w:tcW w:w="641"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color w:val="000000"/>
                <w:sz w:val="18"/>
                <w:szCs w:val="18"/>
              </w:rPr>
              <w:t>0.01697</w:t>
            </w: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snapToGrid w:val="0"/>
                <w:color w:val="000000"/>
                <w:kern w:val="0"/>
                <w:sz w:val="18"/>
                <w:szCs w:val="18"/>
              </w:rPr>
              <w:t>氨氮</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5</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0.00675</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iCs/>
                <w:color w:val="000000"/>
                <w:sz w:val="18"/>
                <w:szCs w:val="18"/>
              </w:rPr>
              <w:t>氨氮20</w:t>
            </w:r>
          </w:p>
        </w:tc>
        <w:tc>
          <w:tcPr>
            <w:tcW w:w="641"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0.00566</w:t>
            </w: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snapToGrid w:val="0"/>
                <w:color w:val="000000"/>
                <w:kern w:val="0"/>
                <w:sz w:val="18"/>
                <w:szCs w:val="18"/>
              </w:rPr>
              <w:t>总磷</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4</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0.00108</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iCs/>
                <w:color w:val="000000"/>
                <w:sz w:val="18"/>
                <w:szCs w:val="18"/>
              </w:rPr>
              <w:t>总磷 3</w:t>
            </w:r>
          </w:p>
        </w:tc>
        <w:tc>
          <w:tcPr>
            <w:tcW w:w="641"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.00085</w:t>
            </w: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75"/>
              <w:rPr>
                <w:rFonts w:eastAsia="仿宋_GB2312" w:cs="Times New Roman"/>
                <w:color w:val="000000"/>
                <w:sz w:val="18"/>
                <w:szCs w:val="18"/>
              </w:rPr>
            </w:pPr>
            <w:r>
              <w:rPr>
                <w:rFonts w:hint="eastAsia" w:eastAsia="仿宋_GB2312" w:cs="Times New Roman"/>
                <w:color w:val="000000"/>
                <w:sz w:val="18"/>
                <w:szCs w:val="18"/>
              </w:rPr>
              <w:t>反冲洗废水和反渗透浓水</w:t>
            </w:r>
          </w:p>
          <w:p>
            <w:pPr>
              <w:pStyle w:val="75"/>
              <w:rPr>
                <w:rFonts w:eastAsia="仿宋_GB2312" w:cs="Times New Roman"/>
                <w:color w:val="000000"/>
                <w:sz w:val="18"/>
                <w:szCs w:val="18"/>
              </w:rPr>
            </w:pPr>
            <w:r>
              <w:rPr>
                <w:rFonts w:hint="eastAsia" w:eastAsia="仿宋_GB2312" w:cs="Times New Roman"/>
                <w:color w:val="000000"/>
                <w:sz w:val="18"/>
                <w:szCs w:val="18"/>
              </w:rPr>
              <w:t>1</w:t>
            </w:r>
            <w:r>
              <w:rPr>
                <w:rFonts w:eastAsia="仿宋_GB2312" w:cs="Times New Roman"/>
                <w:color w:val="000000"/>
                <w:sz w:val="18"/>
                <w:szCs w:val="18"/>
              </w:rPr>
              <w:t>.7</w:t>
            </w:r>
            <w:r>
              <w:rPr>
                <w:rFonts w:eastAsia="仿宋_GB2312"/>
                <w:sz w:val="18"/>
                <w:szCs w:val="18"/>
              </w:rPr>
              <w:t>t/a</w:t>
            </w: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COD</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.000102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restart"/>
            <w:vAlign w:val="center"/>
          </w:tcPr>
          <w:p>
            <w:pPr>
              <w:widowControl/>
              <w:jc w:val="center"/>
              <w:textAlignment w:val="center"/>
              <w:rPr>
                <w:rFonts w:ascii="Times New Roman" w:hAnsi="Times New Roman" w:eastAsia="仿宋_GB2312"/>
                <w:color w:val="000000"/>
                <w:sz w:val="18"/>
                <w:szCs w:val="18"/>
              </w:rPr>
            </w:pPr>
            <w:r>
              <w:rPr>
                <w:rFonts w:ascii="Times New Roman" w:hAnsi="Times New Roman" w:eastAsia="仿宋_GB2312"/>
                <w:color w:val="000000"/>
                <w:sz w:val="18"/>
                <w:szCs w:val="18"/>
              </w:rPr>
              <w:t>氟化物 0.007</w:t>
            </w:r>
          </w:p>
        </w:tc>
        <w:tc>
          <w:tcPr>
            <w:tcW w:w="641" w:type="pct"/>
            <w:vMerge w:val="restar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.000002</w:t>
            </w: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.000034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氨氮</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8</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.000014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Align w:val="center"/>
          </w:tcPr>
          <w:p>
            <w:pPr>
              <w:widowControl/>
              <w:jc w:val="center"/>
              <w:textAlignment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L</w:t>
            </w:r>
            <w:r>
              <w:rPr>
                <w:rFonts w:ascii="Times New Roman" w:hAnsi="Times New Roman" w:eastAsia="仿宋_GB2312"/>
                <w:color w:val="000000"/>
                <w:sz w:val="18"/>
                <w:szCs w:val="18"/>
              </w:rPr>
              <w:t>AS</w:t>
            </w:r>
          </w:p>
          <w:p>
            <w:pPr>
              <w:widowControl/>
              <w:jc w:val="center"/>
              <w:textAlignment w:val="center"/>
              <w:rPr>
                <w:rFonts w:ascii="Times New Roman" w:hAnsi="Times New Roman"/>
                <w:sz w:val="18"/>
                <w:szCs w:val="18"/>
              </w:rPr>
            </w:pPr>
            <w:r>
              <w:rPr>
                <w:rFonts w:ascii="Times New Roman" w:hAnsi="Times New Roman"/>
                <w:sz w:val="18"/>
                <w:szCs w:val="18"/>
              </w:rPr>
              <w:t>0.212</w:t>
            </w:r>
          </w:p>
        </w:tc>
        <w:tc>
          <w:tcPr>
            <w:tcW w:w="641" w:type="pc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.00006</w:t>
            </w: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总磷</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restart"/>
            <w:vAlign w:val="center"/>
          </w:tcPr>
          <w:p>
            <w:pPr>
              <w:widowControl/>
              <w:jc w:val="center"/>
              <w:textAlignment w:val="center"/>
              <w:rPr>
                <w:rFonts w:ascii="Times New Roman" w:hAnsi="Times New Roman" w:eastAsia="仿宋_GB2312"/>
                <w:color w:val="000000"/>
                <w:sz w:val="18"/>
                <w:szCs w:val="18"/>
              </w:rPr>
            </w:pPr>
          </w:p>
        </w:tc>
        <w:tc>
          <w:tcPr>
            <w:tcW w:w="641" w:type="pct"/>
            <w:vMerge w:val="restart"/>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75"/>
              <w:rPr>
                <w:rFonts w:eastAsia="仿宋_GB2312" w:cs="Times New Roman"/>
                <w:color w:val="000000"/>
                <w:sz w:val="18"/>
                <w:szCs w:val="18"/>
              </w:rPr>
            </w:pPr>
            <w:r>
              <w:rPr>
                <w:rFonts w:hint="eastAsia" w:eastAsia="仿宋_GB2312" w:cs="Times New Roman"/>
                <w:color w:val="000000"/>
                <w:sz w:val="18"/>
                <w:szCs w:val="18"/>
              </w:rPr>
              <w:t>仪器及器皿润洗废水1</w:t>
            </w:r>
            <w:r>
              <w:rPr>
                <w:rFonts w:eastAsia="仿宋_GB2312" w:cs="Times New Roman"/>
                <w:color w:val="000000"/>
                <w:sz w:val="18"/>
                <w:szCs w:val="18"/>
              </w:rPr>
              <w:t>.1</w:t>
            </w:r>
            <w:r>
              <w:rPr>
                <w:rFonts w:eastAsia="仿宋_GB2312"/>
                <w:sz w:val="18"/>
                <w:szCs w:val="18"/>
              </w:rPr>
              <w:t>t/a</w:t>
            </w: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COD</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30</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0.000033</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0.000011</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75"/>
              <w:rPr>
                <w:rFonts w:eastAsia="仿宋_GB2312" w:cs="Times New Roman"/>
                <w:color w:val="000000"/>
                <w:sz w:val="18"/>
                <w:szCs w:val="18"/>
              </w:rPr>
            </w:pPr>
            <w:r>
              <w:rPr>
                <w:rFonts w:hint="eastAsia" w:eastAsia="仿宋_GB2312" w:cs="Times New Roman"/>
                <w:color w:val="000000"/>
                <w:sz w:val="18"/>
                <w:szCs w:val="18"/>
              </w:rPr>
              <w:t>实验仪器及器皿清洗废水</w:t>
            </w:r>
          </w:p>
          <w:p>
            <w:pPr>
              <w:pStyle w:val="75"/>
              <w:rPr>
                <w:rFonts w:eastAsia="仿宋_GB2312" w:cs="Times New Roman"/>
                <w:color w:val="000000"/>
                <w:sz w:val="18"/>
                <w:szCs w:val="18"/>
              </w:rPr>
            </w:pPr>
            <w:r>
              <w:rPr>
                <w:rFonts w:hint="eastAsia" w:eastAsia="仿宋_GB2312" w:cs="Times New Roman"/>
                <w:color w:val="000000"/>
                <w:sz w:val="18"/>
                <w:szCs w:val="18"/>
              </w:rPr>
              <w:t>6</w:t>
            </w:r>
            <w:r>
              <w:rPr>
                <w:rFonts w:eastAsia="仿宋_GB2312"/>
                <w:sz w:val="18"/>
                <w:szCs w:val="18"/>
              </w:rPr>
              <w:t>t/a</w:t>
            </w: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COD</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60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.00036</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.00018</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氨氮</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9</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.000054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总磷</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.000006</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氟化物</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.4</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.0000024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L</w:t>
            </w:r>
            <w:r>
              <w:rPr>
                <w:rFonts w:ascii="Times New Roman" w:hAnsi="Times New Roman" w:eastAsia="仿宋_GB2312"/>
                <w:color w:val="000000"/>
                <w:kern w:val="0"/>
                <w:sz w:val="18"/>
                <w:szCs w:val="18"/>
              </w:rPr>
              <w:t>AS</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.00006</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75"/>
              <w:rPr>
                <w:rFonts w:eastAsia="仿宋_GB2312"/>
                <w:bCs/>
                <w:color w:val="000000"/>
                <w:kern w:val="0"/>
                <w:sz w:val="18"/>
                <w:szCs w:val="18"/>
              </w:rPr>
            </w:pPr>
            <w:r>
              <w:rPr>
                <w:rFonts w:hint="eastAsia" w:eastAsia="仿宋_GB2312"/>
                <w:bCs/>
                <w:color w:val="000000"/>
                <w:kern w:val="0"/>
                <w:sz w:val="18"/>
                <w:szCs w:val="18"/>
              </w:rPr>
              <w:t>循环冷却系统废水</w:t>
            </w:r>
          </w:p>
          <w:p>
            <w:pPr>
              <w:pStyle w:val="75"/>
              <w:rPr>
                <w:rFonts w:eastAsia="仿宋_GB2312" w:cs="Times New Roman"/>
                <w:color w:val="000000"/>
                <w:sz w:val="18"/>
                <w:szCs w:val="18"/>
              </w:rPr>
            </w:pPr>
            <w:r>
              <w:rPr>
                <w:rFonts w:hint="eastAsia" w:eastAsia="仿宋_GB2312"/>
                <w:bCs/>
                <w:color w:val="000000"/>
                <w:kern w:val="0"/>
                <w:sz w:val="18"/>
                <w:szCs w:val="18"/>
              </w:rPr>
              <w:t>0</w:t>
            </w:r>
            <w:r>
              <w:rPr>
                <w:rFonts w:eastAsia="仿宋_GB2312"/>
                <w:bCs/>
                <w:color w:val="000000"/>
                <w:kern w:val="0"/>
                <w:sz w:val="18"/>
                <w:szCs w:val="18"/>
              </w:rPr>
              <w:t>.012</w:t>
            </w:r>
            <w:r>
              <w:rPr>
                <w:rFonts w:hint="eastAsia" w:eastAsia="仿宋_GB2312"/>
                <w:bCs/>
                <w:color w:val="000000"/>
                <w:kern w:val="0"/>
                <w:sz w:val="18"/>
                <w:szCs w:val="18"/>
              </w:rPr>
              <w:t>t</w:t>
            </w:r>
            <w:r>
              <w:rPr>
                <w:rFonts w:eastAsia="仿宋_GB2312"/>
                <w:bCs/>
                <w:color w:val="000000"/>
                <w:kern w:val="0"/>
                <w:sz w:val="18"/>
                <w:szCs w:val="18"/>
              </w:rPr>
              <w:t>/</w:t>
            </w:r>
            <w:r>
              <w:rPr>
                <w:rFonts w:hint="eastAsia" w:eastAsia="仿宋_GB2312"/>
                <w:bCs/>
                <w:color w:val="000000"/>
                <w:kern w:val="0"/>
                <w:sz w:val="18"/>
                <w:szCs w:val="18"/>
              </w:rPr>
              <w:t>a</w:t>
            </w: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COD</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.00000024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.00000012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氨氮</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5</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.00000006</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总磷</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.5</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.000000006</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75"/>
              <w:rPr>
                <w:rFonts w:eastAsia="仿宋_GB2312" w:cs="Times New Roman"/>
                <w:color w:val="000000"/>
                <w:sz w:val="18"/>
                <w:szCs w:val="18"/>
              </w:rPr>
            </w:pPr>
            <w:r>
              <w:rPr>
                <w:rFonts w:hint="eastAsia" w:eastAsia="仿宋_GB2312" w:cs="Times New Roman"/>
                <w:color w:val="000000"/>
                <w:sz w:val="18"/>
                <w:szCs w:val="18"/>
              </w:rPr>
              <w:t>实验室台面及地面擦洗废水</w:t>
            </w:r>
            <w:r>
              <w:rPr>
                <w:rFonts w:eastAsia="仿宋_GB2312" w:cs="Times New Roman"/>
                <w:color w:val="000000"/>
                <w:sz w:val="18"/>
                <w:szCs w:val="18"/>
              </w:rPr>
              <w:t>4</w:t>
            </w:r>
            <w:r>
              <w:rPr>
                <w:rFonts w:eastAsia="仿宋_GB2312"/>
                <w:sz w:val="18"/>
                <w:szCs w:val="18"/>
              </w:rPr>
              <w:t>t/a</w:t>
            </w: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COD</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80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.00032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.00012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氨氮</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10</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总磷</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1</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.000004</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氟化物</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.5</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restart"/>
            <w:vAlign w:val="center"/>
          </w:tcPr>
          <w:p>
            <w:pPr>
              <w:pStyle w:val="75"/>
              <w:rPr>
                <w:rFonts w:eastAsia="仿宋_GB2312" w:cs="Times New Roman"/>
                <w:color w:val="000000"/>
                <w:sz w:val="18"/>
                <w:szCs w:val="18"/>
              </w:rPr>
            </w:pPr>
            <w:r>
              <w:rPr>
                <w:rFonts w:hint="eastAsia" w:eastAsia="仿宋_GB2312" w:cs="Times New Roman"/>
                <w:color w:val="000000"/>
                <w:sz w:val="18"/>
                <w:szCs w:val="18"/>
              </w:rPr>
              <w:t>混合废水2</w:t>
            </w:r>
            <w:r>
              <w:rPr>
                <w:rFonts w:eastAsia="仿宋_GB2312" w:cs="Times New Roman"/>
                <w:color w:val="000000"/>
                <w:sz w:val="18"/>
                <w:szCs w:val="18"/>
              </w:rPr>
              <w:t>82.812</w:t>
            </w:r>
            <w:r>
              <w:rPr>
                <w:rFonts w:hint="eastAsia" w:eastAsia="仿宋_GB2312" w:cs="Times New Roman"/>
                <w:color w:val="000000"/>
                <w:sz w:val="18"/>
                <w:szCs w:val="18"/>
              </w:rPr>
              <w:t>t</w:t>
            </w:r>
            <w:r>
              <w:rPr>
                <w:rFonts w:eastAsia="仿宋_GB2312" w:cs="Times New Roman"/>
                <w:color w:val="000000"/>
                <w:sz w:val="18"/>
                <w:szCs w:val="18"/>
              </w:rPr>
              <w:t>/</w:t>
            </w:r>
            <w:r>
              <w:rPr>
                <w:rFonts w:hint="eastAsia" w:eastAsia="仿宋_GB2312" w:cs="Times New Roman"/>
                <w:color w:val="000000"/>
                <w:sz w:val="18"/>
                <w:szCs w:val="18"/>
              </w:rPr>
              <w:t>a</w:t>
            </w: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COD</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84.6</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0.10769</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SS</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87.53</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0.081317</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氨氮</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4.25</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0.006858</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总磷</w:t>
            </w:r>
          </w:p>
        </w:tc>
        <w:tc>
          <w:tcPr>
            <w:tcW w:w="546"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3.86</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0.001092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氟化物</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.007</w:t>
            </w:r>
          </w:p>
        </w:tc>
        <w:tc>
          <w:tcPr>
            <w:tcW w:w="744"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.000002</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9" w:type="pct"/>
            <w:vMerge w:val="continue"/>
            <w:vAlign w:val="center"/>
          </w:tcPr>
          <w:p>
            <w:pPr>
              <w:jc w:val="center"/>
              <w:rPr>
                <w:rFonts w:ascii="Times New Roman" w:hAnsi="Times New Roman" w:eastAsia="仿宋_GB2312"/>
                <w:b/>
                <w:color w:val="000000"/>
                <w:sz w:val="18"/>
                <w:szCs w:val="18"/>
              </w:rPr>
            </w:pPr>
          </w:p>
        </w:tc>
        <w:tc>
          <w:tcPr>
            <w:tcW w:w="591" w:type="pct"/>
            <w:vMerge w:val="continue"/>
            <w:vAlign w:val="center"/>
          </w:tcPr>
          <w:p>
            <w:pPr>
              <w:pStyle w:val="75"/>
              <w:rPr>
                <w:rFonts w:eastAsia="仿宋_GB2312" w:cs="Times New Roman"/>
                <w:color w:val="000000"/>
                <w:sz w:val="18"/>
                <w:szCs w:val="18"/>
              </w:rPr>
            </w:pPr>
          </w:p>
        </w:tc>
        <w:tc>
          <w:tcPr>
            <w:tcW w:w="715" w:type="pct"/>
            <w:vAlign w:val="center"/>
          </w:tcPr>
          <w:p>
            <w:pPr>
              <w:widowControl/>
              <w:jc w:val="center"/>
              <w:textAlignment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L</w:t>
            </w:r>
            <w:r>
              <w:rPr>
                <w:rFonts w:ascii="Times New Roman" w:hAnsi="Times New Roman" w:eastAsia="仿宋_GB2312"/>
                <w:color w:val="000000"/>
                <w:kern w:val="0"/>
                <w:sz w:val="18"/>
                <w:szCs w:val="18"/>
              </w:rPr>
              <w:t>AS</w:t>
            </w:r>
          </w:p>
        </w:tc>
        <w:tc>
          <w:tcPr>
            <w:tcW w:w="546" w:type="pct"/>
            <w:vAlign w:val="center"/>
          </w:tcPr>
          <w:p>
            <w:pPr>
              <w:widowControl/>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.212</w:t>
            </w:r>
          </w:p>
        </w:tc>
        <w:tc>
          <w:tcPr>
            <w:tcW w:w="744" w:type="pct"/>
            <w:vAlign w:val="center"/>
          </w:tcPr>
          <w:p>
            <w:pPr>
              <w:widowControl/>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0.00006</w:t>
            </w:r>
          </w:p>
        </w:tc>
        <w:tc>
          <w:tcPr>
            <w:tcW w:w="649" w:type="pct"/>
            <w:vMerge w:val="continue"/>
            <w:vAlign w:val="center"/>
          </w:tcPr>
          <w:p>
            <w:pPr>
              <w:widowControl/>
              <w:jc w:val="center"/>
              <w:textAlignment w:val="center"/>
              <w:rPr>
                <w:rFonts w:ascii="Times New Roman" w:hAnsi="Times New Roman" w:eastAsia="仿宋_GB2312"/>
                <w:color w:val="000000"/>
                <w:sz w:val="18"/>
                <w:szCs w:val="18"/>
              </w:rPr>
            </w:pPr>
          </w:p>
        </w:tc>
        <w:tc>
          <w:tcPr>
            <w:tcW w:w="595" w:type="pct"/>
            <w:vMerge w:val="continue"/>
            <w:vAlign w:val="center"/>
          </w:tcPr>
          <w:p>
            <w:pPr>
              <w:widowControl/>
              <w:jc w:val="center"/>
              <w:textAlignment w:val="center"/>
              <w:rPr>
                <w:rFonts w:ascii="Times New Roman" w:hAnsi="Times New Roman" w:eastAsia="仿宋_GB2312"/>
                <w:color w:val="000000"/>
                <w:sz w:val="18"/>
                <w:szCs w:val="18"/>
              </w:rPr>
            </w:pPr>
          </w:p>
        </w:tc>
        <w:tc>
          <w:tcPr>
            <w:tcW w:w="641" w:type="pct"/>
            <w:vMerge w:val="continue"/>
            <w:vAlign w:val="center"/>
          </w:tcPr>
          <w:p>
            <w:pPr>
              <w:widowControl/>
              <w:jc w:val="center"/>
              <w:textAlignment w:val="center"/>
              <w:rPr>
                <w:rFonts w:ascii="Times New Roman" w:hAnsi="Times New Roman" w:eastAsia="仿宋_GB2312"/>
                <w:color w:val="000000"/>
                <w:kern w:val="0"/>
                <w:sz w:val="18"/>
                <w:szCs w:val="18"/>
              </w:rPr>
            </w:pPr>
          </w:p>
        </w:tc>
        <w:tc>
          <w:tcPr>
            <w:tcW w:w="240" w:type="pct"/>
            <w:vMerge w:val="continue"/>
            <w:vAlign w:val="center"/>
          </w:tcPr>
          <w:p>
            <w:pPr>
              <w:pStyle w:val="92"/>
              <w:rPr>
                <w:rFonts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79" w:type="pct"/>
            <w:vMerge w:val="restart"/>
            <w:vAlign w:val="center"/>
          </w:tcPr>
          <w:p>
            <w:pPr>
              <w:pStyle w:val="92"/>
              <w:rPr>
                <w:rFonts w:eastAsia="仿宋_GB2312"/>
                <w:sz w:val="18"/>
                <w:szCs w:val="18"/>
              </w:rPr>
            </w:pPr>
            <w:r>
              <w:rPr>
                <w:rFonts w:eastAsia="仿宋_GB2312"/>
                <w:b/>
                <w:sz w:val="18"/>
                <w:szCs w:val="18"/>
              </w:rPr>
              <w:t>固体废物</w:t>
            </w:r>
          </w:p>
        </w:tc>
        <w:tc>
          <w:tcPr>
            <w:tcW w:w="591" w:type="pct"/>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排放源</w:t>
            </w:r>
          </w:p>
        </w:tc>
        <w:tc>
          <w:tcPr>
            <w:tcW w:w="715" w:type="pct"/>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污染物名称</w:t>
            </w:r>
          </w:p>
        </w:tc>
        <w:tc>
          <w:tcPr>
            <w:tcW w:w="546" w:type="pct"/>
            <w:vAlign w:val="center"/>
          </w:tcPr>
          <w:p>
            <w:pPr>
              <w:jc w:val="center"/>
              <w:rPr>
                <w:rFonts w:ascii="Times New Roman" w:hAnsi="Times New Roman" w:eastAsia="仿宋_GB2312"/>
                <w:b/>
                <w:color w:val="000000"/>
                <w:sz w:val="18"/>
                <w:szCs w:val="18"/>
              </w:rPr>
            </w:pPr>
            <w:r>
              <w:rPr>
                <w:rFonts w:ascii="Times New Roman" w:hAnsi="Times New Roman" w:eastAsia="仿宋_GB2312"/>
                <w:b/>
                <w:color w:val="000000"/>
                <w:sz w:val="18"/>
                <w:szCs w:val="18"/>
              </w:rPr>
              <w:t>产生量</w:t>
            </w:r>
          </w:p>
          <w:p>
            <w:pPr>
              <w:jc w:val="center"/>
              <w:rPr>
                <w:rFonts w:ascii="Times New Roman" w:hAnsi="Times New Roman" w:eastAsia="仿宋_GB2312"/>
                <w:color w:val="000000"/>
                <w:sz w:val="18"/>
                <w:szCs w:val="18"/>
              </w:rPr>
            </w:pPr>
            <w:r>
              <w:rPr>
                <w:rFonts w:ascii="Times New Roman" w:hAnsi="Times New Roman" w:eastAsia="仿宋_GB2312"/>
                <w:b/>
                <w:color w:val="000000"/>
                <w:sz w:val="18"/>
                <w:szCs w:val="18"/>
              </w:rPr>
              <w:t>（t/a）</w:t>
            </w:r>
          </w:p>
        </w:tc>
        <w:tc>
          <w:tcPr>
            <w:tcW w:w="744" w:type="pct"/>
            <w:vAlign w:val="center"/>
          </w:tcPr>
          <w:p>
            <w:pPr>
              <w:jc w:val="center"/>
              <w:rPr>
                <w:rFonts w:ascii="Times New Roman" w:hAnsi="Times New Roman" w:eastAsia="仿宋_GB2312"/>
                <w:color w:val="000000"/>
                <w:sz w:val="18"/>
                <w:szCs w:val="18"/>
              </w:rPr>
            </w:pPr>
            <w:r>
              <w:rPr>
                <w:rFonts w:ascii="Times New Roman" w:hAnsi="Times New Roman" w:eastAsia="仿宋_GB2312"/>
                <w:b/>
                <w:color w:val="000000"/>
                <w:sz w:val="18"/>
                <w:szCs w:val="18"/>
              </w:rPr>
              <w:t>处理处置量（t/a）</w:t>
            </w:r>
          </w:p>
        </w:tc>
        <w:tc>
          <w:tcPr>
            <w:tcW w:w="1244" w:type="pct"/>
            <w:gridSpan w:val="2"/>
            <w:vAlign w:val="center"/>
          </w:tcPr>
          <w:p>
            <w:pPr>
              <w:jc w:val="center"/>
              <w:rPr>
                <w:rFonts w:ascii="Times New Roman" w:hAnsi="Times New Roman" w:eastAsia="仿宋_GB2312"/>
                <w:color w:val="000000"/>
                <w:sz w:val="18"/>
                <w:szCs w:val="18"/>
              </w:rPr>
            </w:pPr>
            <w:r>
              <w:rPr>
                <w:rFonts w:ascii="Times New Roman" w:hAnsi="Times New Roman" w:eastAsia="仿宋_GB2312"/>
                <w:b/>
                <w:color w:val="000000"/>
                <w:sz w:val="18"/>
                <w:szCs w:val="18"/>
              </w:rPr>
              <w:t>综合利用量（t/a）</w:t>
            </w:r>
          </w:p>
        </w:tc>
        <w:tc>
          <w:tcPr>
            <w:tcW w:w="641" w:type="pct"/>
            <w:vAlign w:val="center"/>
          </w:tcPr>
          <w:p>
            <w:pPr>
              <w:pStyle w:val="92"/>
              <w:rPr>
                <w:rFonts w:eastAsia="仿宋_GB2312"/>
                <w:sz w:val="18"/>
                <w:szCs w:val="18"/>
              </w:rPr>
            </w:pPr>
            <w:r>
              <w:rPr>
                <w:rFonts w:eastAsia="仿宋_GB2312"/>
                <w:b/>
                <w:sz w:val="18"/>
                <w:szCs w:val="18"/>
              </w:rPr>
              <w:t>外排量（t/a）</w:t>
            </w:r>
          </w:p>
        </w:tc>
        <w:tc>
          <w:tcPr>
            <w:tcW w:w="240" w:type="pct"/>
            <w:vAlign w:val="center"/>
          </w:tcPr>
          <w:p>
            <w:pPr>
              <w:pStyle w:val="92"/>
              <w:rPr>
                <w:rFonts w:eastAsia="仿宋_GB2312"/>
                <w:sz w:val="18"/>
                <w:szCs w:val="18"/>
              </w:rPr>
            </w:pPr>
            <w:r>
              <w:rPr>
                <w:rFonts w:eastAsia="仿宋_GB2312"/>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79" w:type="pct"/>
            <w:vMerge w:val="continue"/>
            <w:vAlign w:val="center"/>
          </w:tcPr>
          <w:p>
            <w:pPr>
              <w:pStyle w:val="92"/>
              <w:rPr>
                <w:rFonts w:eastAsia="仿宋_GB2312"/>
                <w:sz w:val="18"/>
                <w:szCs w:val="18"/>
              </w:rPr>
            </w:pPr>
          </w:p>
        </w:tc>
        <w:tc>
          <w:tcPr>
            <w:tcW w:w="591"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生活</w:t>
            </w: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生活垃圾</w:t>
            </w:r>
          </w:p>
        </w:tc>
        <w:tc>
          <w:tcPr>
            <w:tcW w:w="54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3.375</w:t>
            </w:r>
          </w:p>
        </w:tc>
        <w:tc>
          <w:tcPr>
            <w:tcW w:w="744"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3.375</w:t>
            </w:r>
          </w:p>
        </w:tc>
        <w:tc>
          <w:tcPr>
            <w:tcW w:w="1244" w:type="pct"/>
            <w:gridSpan w:val="2"/>
            <w:vAlign w:val="center"/>
          </w:tcPr>
          <w:p>
            <w:pPr>
              <w:pStyle w:val="92"/>
              <w:rPr>
                <w:rFonts w:eastAsia="仿宋_GB2312"/>
                <w:sz w:val="18"/>
                <w:szCs w:val="18"/>
              </w:rPr>
            </w:pPr>
            <w:r>
              <w:rPr>
                <w:rFonts w:eastAsia="仿宋_GB2312"/>
                <w:sz w:val="18"/>
                <w:szCs w:val="18"/>
              </w:rPr>
              <w:t>0</w:t>
            </w:r>
          </w:p>
        </w:tc>
        <w:tc>
          <w:tcPr>
            <w:tcW w:w="641" w:type="pct"/>
            <w:vAlign w:val="center"/>
          </w:tcPr>
          <w:p>
            <w:pPr>
              <w:widowControl/>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w:t>
            </w:r>
          </w:p>
        </w:tc>
        <w:tc>
          <w:tcPr>
            <w:tcW w:w="240" w:type="pct"/>
            <w:vMerge w:val="restart"/>
            <w:vAlign w:val="center"/>
          </w:tcPr>
          <w:p>
            <w:pPr>
              <w:widowControl/>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79" w:type="pct"/>
            <w:vMerge w:val="continue"/>
            <w:vAlign w:val="center"/>
          </w:tcPr>
          <w:p>
            <w:pPr>
              <w:pStyle w:val="92"/>
              <w:rPr>
                <w:rFonts w:eastAsia="仿宋_GB2312"/>
                <w:b/>
                <w:sz w:val="18"/>
                <w:szCs w:val="18"/>
              </w:rPr>
            </w:pPr>
          </w:p>
        </w:tc>
        <w:tc>
          <w:tcPr>
            <w:tcW w:w="591"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纯水制备</w:t>
            </w: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w:t>
            </w:r>
            <w:r>
              <w:rPr>
                <w:rFonts w:hint="eastAsia" w:ascii="Times New Roman" w:hAnsi="Times New Roman" w:eastAsia="仿宋_GB2312"/>
                <w:color w:val="000000"/>
                <w:sz w:val="18"/>
                <w:szCs w:val="18"/>
              </w:rPr>
              <w:t>反渗透</w:t>
            </w:r>
            <w:r>
              <w:rPr>
                <w:rFonts w:ascii="Times New Roman" w:hAnsi="Times New Roman" w:eastAsia="仿宋_GB2312"/>
                <w:color w:val="000000"/>
                <w:sz w:val="18"/>
                <w:szCs w:val="18"/>
              </w:rPr>
              <w:t>膜</w:t>
            </w:r>
          </w:p>
        </w:tc>
        <w:tc>
          <w:tcPr>
            <w:tcW w:w="54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0.01</w:t>
            </w:r>
          </w:p>
        </w:tc>
        <w:tc>
          <w:tcPr>
            <w:tcW w:w="744"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0.01</w:t>
            </w:r>
          </w:p>
        </w:tc>
        <w:tc>
          <w:tcPr>
            <w:tcW w:w="1244" w:type="pct"/>
            <w:gridSpan w:val="2"/>
            <w:vAlign w:val="center"/>
          </w:tcPr>
          <w:p>
            <w:pPr>
              <w:pStyle w:val="92"/>
              <w:rPr>
                <w:rFonts w:eastAsia="仿宋_GB2312"/>
                <w:sz w:val="18"/>
                <w:szCs w:val="18"/>
              </w:rPr>
            </w:pPr>
            <w:r>
              <w:rPr>
                <w:rFonts w:eastAsia="仿宋_GB2312"/>
                <w:sz w:val="18"/>
                <w:szCs w:val="18"/>
              </w:rPr>
              <w:t>0</w:t>
            </w:r>
          </w:p>
        </w:tc>
        <w:tc>
          <w:tcPr>
            <w:tcW w:w="641" w:type="pct"/>
            <w:vAlign w:val="center"/>
          </w:tcPr>
          <w:p>
            <w:pPr>
              <w:pStyle w:val="92"/>
              <w:rPr>
                <w:rFonts w:eastAsia="仿宋_GB2312"/>
                <w:sz w:val="18"/>
                <w:szCs w:val="18"/>
              </w:rPr>
            </w:pPr>
            <w:r>
              <w:rPr>
                <w:rFonts w:eastAsia="仿宋_GB2312"/>
                <w:sz w:val="18"/>
                <w:szCs w:val="18"/>
              </w:rPr>
              <w:t>0</w:t>
            </w:r>
          </w:p>
        </w:tc>
        <w:tc>
          <w:tcPr>
            <w:tcW w:w="240" w:type="pct"/>
            <w:vMerge w:val="continue"/>
            <w:vAlign w:val="center"/>
          </w:tcPr>
          <w:p>
            <w:pPr>
              <w:adjustRightInd w:val="0"/>
              <w:snapToGrid w:val="0"/>
              <w:jc w:val="center"/>
              <w:rPr>
                <w:rFonts w:ascii="Times New Roman" w:hAnsi="Times New Roman" w:eastAsia="仿宋_GB2312"/>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79" w:type="pct"/>
            <w:vMerge w:val="continue"/>
            <w:vAlign w:val="center"/>
          </w:tcPr>
          <w:p>
            <w:pPr>
              <w:pStyle w:val="92"/>
              <w:rPr>
                <w:rFonts w:eastAsia="仿宋_GB2312"/>
                <w:b/>
                <w:sz w:val="18"/>
                <w:szCs w:val="18"/>
              </w:rPr>
            </w:pPr>
          </w:p>
        </w:tc>
        <w:tc>
          <w:tcPr>
            <w:tcW w:w="59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检测、科研</w:t>
            </w:r>
          </w:p>
        </w:tc>
        <w:tc>
          <w:tcPr>
            <w:tcW w:w="715"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废玻璃器皿等耗材</w:t>
            </w:r>
          </w:p>
        </w:tc>
        <w:tc>
          <w:tcPr>
            <w:tcW w:w="546"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5</w:t>
            </w:r>
          </w:p>
        </w:tc>
        <w:tc>
          <w:tcPr>
            <w:tcW w:w="744"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.5</w:t>
            </w:r>
          </w:p>
        </w:tc>
        <w:tc>
          <w:tcPr>
            <w:tcW w:w="1244" w:type="pct"/>
            <w:gridSpan w:val="2"/>
            <w:vAlign w:val="center"/>
          </w:tcPr>
          <w:p>
            <w:pPr>
              <w:pStyle w:val="92"/>
              <w:rPr>
                <w:rFonts w:eastAsia="仿宋_GB2312"/>
                <w:sz w:val="18"/>
                <w:szCs w:val="18"/>
              </w:rPr>
            </w:pPr>
            <w:r>
              <w:rPr>
                <w:rFonts w:hint="eastAsia" w:eastAsia="仿宋_GB2312"/>
                <w:sz w:val="18"/>
                <w:szCs w:val="18"/>
              </w:rPr>
              <w:t>0</w:t>
            </w:r>
          </w:p>
        </w:tc>
        <w:tc>
          <w:tcPr>
            <w:tcW w:w="641" w:type="pct"/>
            <w:vAlign w:val="center"/>
          </w:tcPr>
          <w:p>
            <w:pPr>
              <w:pStyle w:val="92"/>
              <w:rPr>
                <w:rFonts w:eastAsia="仿宋_GB2312"/>
                <w:sz w:val="18"/>
                <w:szCs w:val="18"/>
              </w:rPr>
            </w:pPr>
            <w:r>
              <w:rPr>
                <w:rFonts w:hint="eastAsia" w:eastAsia="仿宋_GB2312"/>
                <w:sz w:val="18"/>
                <w:szCs w:val="18"/>
              </w:rPr>
              <w:t>0</w:t>
            </w:r>
          </w:p>
        </w:tc>
        <w:tc>
          <w:tcPr>
            <w:tcW w:w="240" w:type="pct"/>
            <w:vMerge w:val="restart"/>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kern w:val="0"/>
                <w:sz w:val="18"/>
                <w:szCs w:val="18"/>
              </w:rPr>
              <w:t>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79" w:type="pct"/>
            <w:vMerge w:val="continue"/>
            <w:vAlign w:val="center"/>
          </w:tcPr>
          <w:p>
            <w:pPr>
              <w:pStyle w:val="92"/>
              <w:rPr>
                <w:rFonts w:eastAsia="仿宋_GB2312"/>
                <w:b/>
                <w:sz w:val="18"/>
                <w:szCs w:val="18"/>
              </w:rPr>
            </w:pPr>
          </w:p>
        </w:tc>
        <w:tc>
          <w:tcPr>
            <w:tcW w:w="59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检测、科研</w:t>
            </w:r>
          </w:p>
        </w:tc>
        <w:tc>
          <w:tcPr>
            <w:tcW w:w="71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废试剂瓶</w:t>
            </w:r>
          </w:p>
        </w:tc>
        <w:tc>
          <w:tcPr>
            <w:tcW w:w="546"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0.8</w:t>
            </w:r>
          </w:p>
        </w:tc>
        <w:tc>
          <w:tcPr>
            <w:tcW w:w="744" w:type="pct"/>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0.8</w:t>
            </w:r>
          </w:p>
        </w:tc>
        <w:tc>
          <w:tcPr>
            <w:tcW w:w="1244" w:type="pct"/>
            <w:gridSpan w:val="2"/>
            <w:vAlign w:val="center"/>
          </w:tcPr>
          <w:p>
            <w:pPr>
              <w:pStyle w:val="92"/>
              <w:rPr>
                <w:rFonts w:eastAsia="仿宋_GB2312"/>
                <w:kern w:val="0"/>
                <w:sz w:val="18"/>
                <w:szCs w:val="18"/>
              </w:rPr>
            </w:pPr>
            <w:r>
              <w:rPr>
                <w:rFonts w:eastAsia="仿宋_GB2312"/>
                <w:kern w:val="0"/>
                <w:sz w:val="18"/>
                <w:szCs w:val="18"/>
              </w:rPr>
              <w:t>0</w:t>
            </w:r>
          </w:p>
        </w:tc>
        <w:tc>
          <w:tcPr>
            <w:tcW w:w="641" w:type="pct"/>
            <w:vAlign w:val="center"/>
          </w:tcPr>
          <w:p>
            <w:pPr>
              <w:pStyle w:val="92"/>
              <w:rPr>
                <w:rFonts w:eastAsia="仿宋_GB2312"/>
                <w:kern w:val="0"/>
                <w:sz w:val="18"/>
                <w:szCs w:val="18"/>
              </w:rPr>
            </w:pPr>
            <w:r>
              <w:rPr>
                <w:rFonts w:eastAsia="仿宋_GB2312"/>
                <w:kern w:val="0"/>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79" w:type="pct"/>
            <w:vMerge w:val="continue"/>
            <w:vAlign w:val="center"/>
          </w:tcPr>
          <w:p>
            <w:pPr>
              <w:pStyle w:val="92"/>
              <w:rPr>
                <w:rFonts w:eastAsia="仿宋_GB2312"/>
                <w:b/>
                <w:sz w:val="18"/>
                <w:szCs w:val="18"/>
              </w:rPr>
            </w:pPr>
          </w:p>
        </w:tc>
        <w:tc>
          <w:tcPr>
            <w:tcW w:w="59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检测、科研</w:t>
            </w:r>
          </w:p>
        </w:tc>
        <w:tc>
          <w:tcPr>
            <w:tcW w:w="71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废药剂包装</w:t>
            </w:r>
          </w:p>
        </w:tc>
        <w:tc>
          <w:tcPr>
            <w:tcW w:w="546"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0.</w:t>
            </w:r>
            <w:r>
              <w:rPr>
                <w:rFonts w:ascii="Times New Roman" w:hAnsi="Times New Roman" w:eastAsia="仿宋_GB2312"/>
                <w:color w:val="000000"/>
                <w:sz w:val="18"/>
                <w:szCs w:val="21"/>
              </w:rPr>
              <w:t>2</w:t>
            </w:r>
          </w:p>
        </w:tc>
        <w:tc>
          <w:tcPr>
            <w:tcW w:w="744" w:type="pct"/>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0</w:t>
            </w:r>
            <w:r>
              <w:rPr>
                <w:rFonts w:ascii="Times New Roman" w:hAnsi="Times New Roman" w:eastAsia="仿宋_GB2312"/>
                <w:color w:val="000000"/>
                <w:sz w:val="18"/>
                <w:szCs w:val="21"/>
              </w:rPr>
              <w:t>.2</w:t>
            </w:r>
          </w:p>
        </w:tc>
        <w:tc>
          <w:tcPr>
            <w:tcW w:w="1244" w:type="pct"/>
            <w:gridSpan w:val="2"/>
            <w:vAlign w:val="center"/>
          </w:tcPr>
          <w:p>
            <w:pPr>
              <w:pStyle w:val="92"/>
              <w:rPr>
                <w:rFonts w:eastAsia="仿宋_GB2312"/>
                <w:kern w:val="0"/>
                <w:sz w:val="18"/>
                <w:szCs w:val="18"/>
              </w:rPr>
            </w:pPr>
            <w:r>
              <w:rPr>
                <w:rFonts w:hint="eastAsia" w:eastAsia="仿宋_GB2312"/>
                <w:kern w:val="0"/>
                <w:sz w:val="18"/>
                <w:szCs w:val="18"/>
              </w:rPr>
              <w:t>0</w:t>
            </w:r>
          </w:p>
        </w:tc>
        <w:tc>
          <w:tcPr>
            <w:tcW w:w="641" w:type="pct"/>
            <w:vAlign w:val="center"/>
          </w:tcPr>
          <w:p>
            <w:pPr>
              <w:pStyle w:val="92"/>
              <w:rPr>
                <w:rFonts w:eastAsia="仿宋_GB2312"/>
                <w:kern w:val="0"/>
                <w:sz w:val="18"/>
                <w:szCs w:val="18"/>
              </w:rPr>
            </w:pPr>
            <w:r>
              <w:rPr>
                <w:rFonts w:hint="eastAsia" w:eastAsia="仿宋_GB2312"/>
                <w:kern w:val="0"/>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9" w:type="pct"/>
            <w:vMerge w:val="continue"/>
            <w:vAlign w:val="center"/>
          </w:tcPr>
          <w:p>
            <w:pPr>
              <w:pStyle w:val="92"/>
              <w:rPr>
                <w:rFonts w:eastAsia="仿宋_GB2312"/>
                <w:sz w:val="18"/>
                <w:szCs w:val="18"/>
              </w:rPr>
            </w:pPr>
          </w:p>
        </w:tc>
        <w:tc>
          <w:tcPr>
            <w:tcW w:w="59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w:t>
            </w:r>
          </w:p>
        </w:tc>
        <w:tc>
          <w:tcPr>
            <w:tcW w:w="71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废固体样品</w:t>
            </w:r>
          </w:p>
        </w:tc>
        <w:tc>
          <w:tcPr>
            <w:tcW w:w="546"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4.0</w:t>
            </w:r>
          </w:p>
        </w:tc>
        <w:tc>
          <w:tcPr>
            <w:tcW w:w="744" w:type="pct"/>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4.0</w:t>
            </w:r>
          </w:p>
        </w:tc>
        <w:tc>
          <w:tcPr>
            <w:tcW w:w="1244" w:type="pct"/>
            <w:gridSpan w:val="2"/>
            <w:vAlign w:val="center"/>
          </w:tcPr>
          <w:p>
            <w:pPr>
              <w:pStyle w:val="92"/>
              <w:rPr>
                <w:rFonts w:eastAsia="仿宋_GB2312"/>
                <w:sz w:val="18"/>
                <w:szCs w:val="18"/>
              </w:rPr>
            </w:pPr>
            <w:r>
              <w:rPr>
                <w:rFonts w:eastAsia="仿宋_GB2312"/>
                <w:sz w:val="18"/>
                <w:szCs w:val="18"/>
              </w:rPr>
              <w:t>0</w:t>
            </w:r>
          </w:p>
        </w:tc>
        <w:tc>
          <w:tcPr>
            <w:tcW w:w="641" w:type="pct"/>
            <w:vAlign w:val="center"/>
          </w:tcPr>
          <w:p>
            <w:pPr>
              <w:pStyle w:val="92"/>
              <w:rPr>
                <w:rFonts w:eastAsia="仿宋_GB2312"/>
                <w:sz w:val="18"/>
                <w:szCs w:val="18"/>
              </w:rPr>
            </w:pPr>
            <w:r>
              <w:rPr>
                <w:rFonts w:eastAsia="仿宋_GB2312"/>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9" w:type="pct"/>
            <w:vMerge w:val="continue"/>
            <w:vAlign w:val="center"/>
          </w:tcPr>
          <w:p>
            <w:pPr>
              <w:pStyle w:val="92"/>
              <w:rPr>
                <w:rFonts w:eastAsia="仿宋_GB2312"/>
                <w:sz w:val="18"/>
                <w:szCs w:val="18"/>
              </w:rPr>
            </w:pPr>
          </w:p>
        </w:tc>
        <w:tc>
          <w:tcPr>
            <w:tcW w:w="59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检测</w:t>
            </w:r>
          </w:p>
        </w:tc>
        <w:tc>
          <w:tcPr>
            <w:tcW w:w="71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w:t>
            </w:r>
            <w:r>
              <w:rPr>
                <w:rFonts w:hint="eastAsia" w:ascii="Times New Roman" w:hAnsi="Times New Roman" w:eastAsia="仿宋_GB2312"/>
                <w:color w:val="000000"/>
                <w:sz w:val="18"/>
                <w:szCs w:val="18"/>
              </w:rPr>
              <w:t>液体</w:t>
            </w:r>
            <w:r>
              <w:rPr>
                <w:rFonts w:ascii="Times New Roman" w:hAnsi="Times New Roman" w:eastAsia="仿宋_GB2312"/>
                <w:color w:val="000000"/>
                <w:sz w:val="18"/>
                <w:szCs w:val="18"/>
              </w:rPr>
              <w:t>样品</w:t>
            </w:r>
          </w:p>
        </w:tc>
        <w:tc>
          <w:tcPr>
            <w:tcW w:w="546"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2.0</w:t>
            </w:r>
          </w:p>
        </w:tc>
        <w:tc>
          <w:tcPr>
            <w:tcW w:w="744" w:type="pct"/>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2</w:t>
            </w:r>
            <w:r>
              <w:rPr>
                <w:rFonts w:ascii="Times New Roman" w:hAnsi="Times New Roman" w:eastAsia="仿宋_GB2312"/>
                <w:color w:val="000000"/>
                <w:sz w:val="18"/>
                <w:szCs w:val="21"/>
              </w:rPr>
              <w:t>.0</w:t>
            </w:r>
          </w:p>
        </w:tc>
        <w:tc>
          <w:tcPr>
            <w:tcW w:w="1244" w:type="pct"/>
            <w:gridSpan w:val="2"/>
            <w:vAlign w:val="center"/>
          </w:tcPr>
          <w:p>
            <w:pPr>
              <w:pStyle w:val="92"/>
              <w:rPr>
                <w:rFonts w:eastAsia="仿宋_GB2312"/>
                <w:sz w:val="18"/>
                <w:szCs w:val="18"/>
              </w:rPr>
            </w:pPr>
            <w:r>
              <w:rPr>
                <w:rFonts w:hint="eastAsia" w:eastAsia="仿宋_GB2312"/>
                <w:sz w:val="18"/>
                <w:szCs w:val="18"/>
              </w:rPr>
              <w:t>0</w:t>
            </w:r>
          </w:p>
        </w:tc>
        <w:tc>
          <w:tcPr>
            <w:tcW w:w="641" w:type="pct"/>
            <w:vAlign w:val="center"/>
          </w:tcPr>
          <w:p>
            <w:pPr>
              <w:pStyle w:val="92"/>
              <w:rPr>
                <w:rFonts w:eastAsia="仿宋_GB2312"/>
                <w:sz w:val="18"/>
                <w:szCs w:val="18"/>
              </w:rPr>
            </w:pPr>
            <w:r>
              <w:rPr>
                <w:rFonts w:hint="eastAsia" w:eastAsia="仿宋_GB2312"/>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79" w:type="pct"/>
            <w:vMerge w:val="continue"/>
            <w:vAlign w:val="center"/>
          </w:tcPr>
          <w:p>
            <w:pPr>
              <w:pStyle w:val="92"/>
              <w:rPr>
                <w:rFonts w:eastAsia="仿宋_GB2312"/>
                <w:sz w:val="18"/>
                <w:szCs w:val="18"/>
              </w:rPr>
            </w:pPr>
          </w:p>
        </w:tc>
        <w:tc>
          <w:tcPr>
            <w:tcW w:w="59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w:t>
            </w:r>
          </w:p>
        </w:tc>
        <w:tc>
          <w:tcPr>
            <w:tcW w:w="71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科研、检测废液及前两道清洗废液</w:t>
            </w:r>
          </w:p>
        </w:tc>
        <w:tc>
          <w:tcPr>
            <w:tcW w:w="546"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3.2</w:t>
            </w:r>
          </w:p>
        </w:tc>
        <w:tc>
          <w:tcPr>
            <w:tcW w:w="744" w:type="pct"/>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3.2</w:t>
            </w:r>
          </w:p>
        </w:tc>
        <w:tc>
          <w:tcPr>
            <w:tcW w:w="1244" w:type="pct"/>
            <w:gridSpan w:val="2"/>
            <w:vAlign w:val="center"/>
          </w:tcPr>
          <w:p>
            <w:pPr>
              <w:pStyle w:val="92"/>
              <w:rPr>
                <w:rFonts w:eastAsia="仿宋_GB2312"/>
                <w:sz w:val="18"/>
                <w:szCs w:val="18"/>
              </w:rPr>
            </w:pPr>
            <w:r>
              <w:rPr>
                <w:rFonts w:eastAsia="仿宋_GB2312"/>
                <w:sz w:val="18"/>
                <w:szCs w:val="18"/>
              </w:rPr>
              <w:t>0</w:t>
            </w:r>
          </w:p>
        </w:tc>
        <w:tc>
          <w:tcPr>
            <w:tcW w:w="641" w:type="pct"/>
            <w:vAlign w:val="center"/>
          </w:tcPr>
          <w:p>
            <w:pPr>
              <w:pStyle w:val="92"/>
              <w:rPr>
                <w:rFonts w:eastAsia="仿宋_GB2312"/>
                <w:sz w:val="18"/>
                <w:szCs w:val="18"/>
              </w:rPr>
            </w:pPr>
            <w:r>
              <w:rPr>
                <w:rFonts w:eastAsia="仿宋_GB2312"/>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79" w:type="pct"/>
            <w:vMerge w:val="continue"/>
            <w:vAlign w:val="center"/>
          </w:tcPr>
          <w:p>
            <w:pPr>
              <w:pStyle w:val="92"/>
              <w:rPr>
                <w:rFonts w:eastAsia="仿宋_GB2312"/>
                <w:sz w:val="18"/>
                <w:szCs w:val="18"/>
              </w:rPr>
            </w:pPr>
          </w:p>
        </w:tc>
        <w:tc>
          <w:tcPr>
            <w:tcW w:w="59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w:t>
            </w:r>
          </w:p>
        </w:tc>
        <w:tc>
          <w:tcPr>
            <w:tcW w:w="71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过期化学品</w:t>
            </w:r>
          </w:p>
        </w:tc>
        <w:tc>
          <w:tcPr>
            <w:tcW w:w="546"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0.02</w:t>
            </w:r>
          </w:p>
        </w:tc>
        <w:tc>
          <w:tcPr>
            <w:tcW w:w="744" w:type="pct"/>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0.02</w:t>
            </w:r>
          </w:p>
        </w:tc>
        <w:tc>
          <w:tcPr>
            <w:tcW w:w="1244" w:type="pct"/>
            <w:gridSpan w:val="2"/>
            <w:vAlign w:val="center"/>
          </w:tcPr>
          <w:p>
            <w:pPr>
              <w:pStyle w:val="92"/>
              <w:rPr>
                <w:rFonts w:eastAsia="仿宋_GB2312"/>
                <w:sz w:val="18"/>
                <w:szCs w:val="18"/>
              </w:rPr>
            </w:pPr>
            <w:r>
              <w:rPr>
                <w:rFonts w:eastAsia="仿宋_GB2312"/>
                <w:sz w:val="18"/>
                <w:szCs w:val="18"/>
              </w:rPr>
              <w:t>0</w:t>
            </w:r>
          </w:p>
        </w:tc>
        <w:tc>
          <w:tcPr>
            <w:tcW w:w="641" w:type="pct"/>
            <w:vAlign w:val="center"/>
          </w:tcPr>
          <w:p>
            <w:pPr>
              <w:pStyle w:val="92"/>
              <w:rPr>
                <w:rFonts w:eastAsia="仿宋_GB2312"/>
                <w:sz w:val="18"/>
                <w:szCs w:val="18"/>
              </w:rPr>
            </w:pPr>
            <w:r>
              <w:rPr>
                <w:rFonts w:eastAsia="仿宋_GB2312"/>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79" w:type="pct"/>
            <w:vMerge w:val="continue"/>
            <w:vAlign w:val="center"/>
          </w:tcPr>
          <w:p>
            <w:pPr>
              <w:pStyle w:val="92"/>
              <w:rPr>
                <w:rFonts w:eastAsia="仿宋_GB2312"/>
                <w:sz w:val="18"/>
                <w:szCs w:val="18"/>
              </w:rPr>
            </w:pPr>
          </w:p>
        </w:tc>
        <w:tc>
          <w:tcPr>
            <w:tcW w:w="591"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废气处理装置</w:t>
            </w:r>
          </w:p>
        </w:tc>
        <w:tc>
          <w:tcPr>
            <w:tcW w:w="715"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废活性炭</w:t>
            </w:r>
          </w:p>
        </w:tc>
        <w:tc>
          <w:tcPr>
            <w:tcW w:w="546"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0.5</w:t>
            </w:r>
          </w:p>
        </w:tc>
        <w:tc>
          <w:tcPr>
            <w:tcW w:w="744" w:type="pct"/>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0.5</w:t>
            </w:r>
          </w:p>
        </w:tc>
        <w:tc>
          <w:tcPr>
            <w:tcW w:w="1244" w:type="pct"/>
            <w:gridSpan w:val="2"/>
            <w:vAlign w:val="center"/>
          </w:tcPr>
          <w:p>
            <w:pPr>
              <w:pStyle w:val="92"/>
              <w:rPr>
                <w:rFonts w:eastAsia="仿宋_GB2312"/>
                <w:sz w:val="18"/>
                <w:szCs w:val="18"/>
              </w:rPr>
            </w:pPr>
            <w:r>
              <w:rPr>
                <w:rFonts w:eastAsia="仿宋_GB2312"/>
                <w:sz w:val="18"/>
                <w:szCs w:val="18"/>
              </w:rPr>
              <w:t>0</w:t>
            </w:r>
          </w:p>
        </w:tc>
        <w:tc>
          <w:tcPr>
            <w:tcW w:w="641" w:type="pct"/>
            <w:vAlign w:val="center"/>
          </w:tcPr>
          <w:p>
            <w:pPr>
              <w:pStyle w:val="92"/>
              <w:rPr>
                <w:rFonts w:eastAsia="仿宋_GB2312"/>
                <w:sz w:val="18"/>
                <w:szCs w:val="18"/>
              </w:rPr>
            </w:pPr>
            <w:r>
              <w:rPr>
                <w:rFonts w:eastAsia="仿宋_GB2312"/>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79" w:type="pct"/>
            <w:vMerge w:val="continue"/>
            <w:vAlign w:val="center"/>
          </w:tcPr>
          <w:p>
            <w:pPr>
              <w:pStyle w:val="92"/>
              <w:rPr>
                <w:rFonts w:eastAsia="仿宋_GB2312"/>
                <w:sz w:val="18"/>
                <w:szCs w:val="18"/>
              </w:rPr>
            </w:pPr>
          </w:p>
        </w:tc>
        <w:tc>
          <w:tcPr>
            <w:tcW w:w="591"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科研实验</w:t>
            </w:r>
          </w:p>
        </w:tc>
        <w:tc>
          <w:tcPr>
            <w:tcW w:w="715"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藻类和斑马鱼尸体</w:t>
            </w:r>
          </w:p>
        </w:tc>
        <w:tc>
          <w:tcPr>
            <w:tcW w:w="546"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.01</w:t>
            </w:r>
          </w:p>
        </w:tc>
        <w:tc>
          <w:tcPr>
            <w:tcW w:w="744"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01</w:t>
            </w:r>
          </w:p>
        </w:tc>
        <w:tc>
          <w:tcPr>
            <w:tcW w:w="1244" w:type="pct"/>
            <w:gridSpan w:val="2"/>
            <w:vAlign w:val="center"/>
          </w:tcPr>
          <w:p>
            <w:pPr>
              <w:pStyle w:val="92"/>
              <w:rPr>
                <w:rFonts w:eastAsia="仿宋_GB2312"/>
                <w:sz w:val="18"/>
                <w:szCs w:val="18"/>
              </w:rPr>
            </w:pPr>
            <w:r>
              <w:rPr>
                <w:rFonts w:hint="eastAsia" w:eastAsia="仿宋_GB2312"/>
                <w:sz w:val="18"/>
                <w:szCs w:val="18"/>
              </w:rPr>
              <w:t>0</w:t>
            </w:r>
          </w:p>
        </w:tc>
        <w:tc>
          <w:tcPr>
            <w:tcW w:w="641" w:type="pct"/>
            <w:vAlign w:val="center"/>
          </w:tcPr>
          <w:p>
            <w:pPr>
              <w:pStyle w:val="92"/>
              <w:rPr>
                <w:rFonts w:eastAsia="仿宋_GB2312"/>
                <w:sz w:val="18"/>
                <w:szCs w:val="18"/>
              </w:rPr>
            </w:pPr>
            <w:r>
              <w:rPr>
                <w:rFonts w:hint="eastAsia" w:eastAsia="仿宋_GB2312"/>
                <w:sz w:val="18"/>
                <w:szCs w:val="18"/>
              </w:rPr>
              <w:t>0</w:t>
            </w:r>
          </w:p>
        </w:tc>
        <w:tc>
          <w:tcPr>
            <w:tcW w:w="240" w:type="pct"/>
            <w:vMerge w:val="continue"/>
            <w:vAlign w:val="center"/>
          </w:tcPr>
          <w:p>
            <w:pPr>
              <w:widowControl/>
              <w:adjustRightInd w:val="0"/>
              <w:snapToGrid w:val="0"/>
              <w:jc w:val="center"/>
              <w:rPr>
                <w:rFonts w:ascii="Times New Roman" w:hAnsi="Times New Roman" w:eastAsia="仿宋_GB2312"/>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79" w:type="pct"/>
            <w:vAlign w:val="center"/>
          </w:tcPr>
          <w:p>
            <w:pPr>
              <w:pStyle w:val="92"/>
              <w:rPr>
                <w:rFonts w:eastAsia="仿宋_GB2312"/>
                <w:b/>
                <w:sz w:val="18"/>
                <w:szCs w:val="18"/>
              </w:rPr>
            </w:pPr>
            <w:r>
              <w:rPr>
                <w:rFonts w:eastAsia="仿宋_GB2312"/>
                <w:b/>
                <w:sz w:val="18"/>
                <w:szCs w:val="18"/>
              </w:rPr>
              <w:t>噪声</w:t>
            </w:r>
          </w:p>
        </w:tc>
        <w:tc>
          <w:tcPr>
            <w:tcW w:w="591" w:type="pct"/>
          </w:tcPr>
          <w:p>
            <w:pPr>
              <w:pStyle w:val="82"/>
              <w:spacing w:line="240" w:lineRule="auto"/>
              <w:ind w:firstLine="360"/>
              <w:rPr>
                <w:rFonts w:eastAsia="仿宋_GB2312"/>
                <w:sz w:val="18"/>
                <w:szCs w:val="18"/>
              </w:rPr>
            </w:pPr>
          </w:p>
        </w:tc>
        <w:tc>
          <w:tcPr>
            <w:tcW w:w="4130" w:type="pct"/>
            <w:gridSpan w:val="7"/>
            <w:vAlign w:val="center"/>
          </w:tcPr>
          <w:p>
            <w:pPr>
              <w:pStyle w:val="82"/>
              <w:spacing w:line="240" w:lineRule="auto"/>
              <w:ind w:firstLine="360"/>
              <w:rPr>
                <w:rFonts w:eastAsia="仿宋_GB2312"/>
                <w:sz w:val="18"/>
                <w:szCs w:val="18"/>
              </w:rPr>
            </w:pPr>
            <w:r>
              <w:rPr>
                <w:rFonts w:eastAsia="仿宋_GB2312"/>
                <w:sz w:val="18"/>
                <w:szCs w:val="18"/>
              </w:rPr>
              <w:t>产生噪声的设备主要为风机</w:t>
            </w:r>
            <w:r>
              <w:rPr>
                <w:rFonts w:hint="eastAsia" w:eastAsia="仿宋_GB2312"/>
                <w:sz w:val="18"/>
                <w:szCs w:val="18"/>
              </w:rPr>
              <w:t>、空调外机</w:t>
            </w:r>
            <w:r>
              <w:rPr>
                <w:rFonts w:eastAsia="仿宋_GB2312"/>
                <w:sz w:val="18"/>
                <w:szCs w:val="18"/>
              </w:rPr>
              <w:t>，单台噪声值</w:t>
            </w:r>
            <w:r>
              <w:rPr>
                <w:rFonts w:hint="eastAsia" w:eastAsia="仿宋_GB2312"/>
                <w:sz w:val="18"/>
                <w:szCs w:val="18"/>
              </w:rPr>
              <w:t>分别为</w:t>
            </w:r>
            <w:r>
              <w:rPr>
                <w:rFonts w:eastAsia="仿宋_GB2312"/>
                <w:sz w:val="18"/>
                <w:szCs w:val="18"/>
              </w:rPr>
              <w:t>85</w:t>
            </w:r>
            <w:r>
              <w:rPr>
                <w:rFonts w:hint="eastAsia" w:eastAsia="仿宋_GB2312"/>
                <w:sz w:val="18"/>
                <w:szCs w:val="18"/>
              </w:rPr>
              <w:t>和6</w:t>
            </w:r>
            <w:r>
              <w:rPr>
                <w:rFonts w:eastAsia="仿宋_GB2312"/>
                <w:sz w:val="18"/>
                <w:szCs w:val="18"/>
              </w:rPr>
              <w:t>0dB(A)左右，采取选用低噪声设备、</w:t>
            </w:r>
            <w:r>
              <w:rPr>
                <w:rFonts w:hint="eastAsia" w:eastAsia="仿宋_GB2312"/>
                <w:sz w:val="18"/>
                <w:szCs w:val="18"/>
              </w:rPr>
              <w:t>设备隔声、</w:t>
            </w:r>
            <w:r>
              <w:rPr>
                <w:rFonts w:eastAsia="仿宋_GB2312"/>
                <w:snapToGrid w:val="0"/>
                <w:kern w:val="0"/>
                <w:sz w:val="18"/>
                <w:szCs w:val="18"/>
              </w:rPr>
              <w:t>基础减振</w:t>
            </w:r>
            <w:r>
              <w:rPr>
                <w:rFonts w:eastAsia="仿宋_GB2312"/>
                <w:sz w:val="18"/>
                <w:szCs w:val="18"/>
              </w:rPr>
              <w:t>等措施，</w:t>
            </w:r>
            <w:r>
              <w:rPr>
                <w:rFonts w:hint="eastAsia" w:eastAsia="仿宋_GB2312"/>
                <w:sz w:val="18"/>
                <w:szCs w:val="18"/>
              </w:rPr>
              <w:t>加强周边绿化且夜间不工作</w:t>
            </w:r>
            <w:r>
              <w:rPr>
                <w:rFonts w:eastAsia="仿宋_GB2312"/>
                <w:sz w:val="18"/>
                <w:szCs w:val="18"/>
              </w:rPr>
              <w:t>，</w:t>
            </w:r>
            <w:r>
              <w:rPr>
                <w:rFonts w:hint="eastAsia" w:eastAsia="仿宋_GB2312"/>
                <w:sz w:val="18"/>
                <w:szCs w:val="18"/>
              </w:rPr>
              <w:t>实施后</w:t>
            </w:r>
            <w:r>
              <w:rPr>
                <w:rFonts w:eastAsia="仿宋_GB2312"/>
                <w:sz w:val="18"/>
                <w:szCs w:val="18"/>
              </w:rPr>
              <w:t>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 w:hRule="atLeast"/>
          <w:jc w:val="center"/>
        </w:trPr>
        <w:tc>
          <w:tcPr>
            <w:tcW w:w="279" w:type="pct"/>
            <w:vAlign w:val="center"/>
          </w:tcPr>
          <w:p>
            <w:pPr>
              <w:pStyle w:val="92"/>
              <w:rPr>
                <w:rFonts w:eastAsia="仿宋_GB2312"/>
                <w:b/>
                <w:sz w:val="18"/>
                <w:szCs w:val="18"/>
              </w:rPr>
            </w:pPr>
            <w:r>
              <w:rPr>
                <w:rFonts w:eastAsia="仿宋_GB2312"/>
                <w:b/>
                <w:sz w:val="18"/>
                <w:szCs w:val="18"/>
              </w:rPr>
              <w:t>其它</w:t>
            </w:r>
          </w:p>
        </w:tc>
        <w:tc>
          <w:tcPr>
            <w:tcW w:w="591" w:type="pct"/>
          </w:tcPr>
          <w:p>
            <w:pPr>
              <w:pStyle w:val="92"/>
              <w:rPr>
                <w:rFonts w:eastAsia="仿宋_GB2312"/>
                <w:sz w:val="18"/>
                <w:szCs w:val="18"/>
              </w:rPr>
            </w:pPr>
          </w:p>
        </w:tc>
        <w:tc>
          <w:tcPr>
            <w:tcW w:w="4130" w:type="pct"/>
            <w:gridSpan w:val="7"/>
            <w:vAlign w:val="center"/>
          </w:tcPr>
          <w:p>
            <w:pPr>
              <w:pStyle w:val="92"/>
              <w:rPr>
                <w:rFonts w:eastAsia="仿宋_GB2312"/>
                <w:sz w:val="18"/>
                <w:szCs w:val="18"/>
              </w:rPr>
            </w:pPr>
            <w:r>
              <w:rPr>
                <w:rFonts w:eastAsia="仿宋_GB231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79" w:type="pct"/>
          </w:tcPr>
          <w:p>
            <w:pPr>
              <w:pStyle w:val="83"/>
              <w:spacing w:line="240" w:lineRule="auto"/>
              <w:rPr>
                <w:rFonts w:ascii="Times New Roman" w:hAnsi="Times New Roman" w:eastAsia="仿宋_GB2312"/>
                <w:sz w:val="18"/>
                <w:szCs w:val="18"/>
              </w:rPr>
            </w:pPr>
          </w:p>
        </w:tc>
        <w:tc>
          <w:tcPr>
            <w:tcW w:w="4721" w:type="pct"/>
            <w:gridSpan w:val="8"/>
          </w:tcPr>
          <w:p>
            <w:pPr>
              <w:pStyle w:val="83"/>
              <w:spacing w:line="240" w:lineRule="auto"/>
              <w:rPr>
                <w:rFonts w:ascii="Times New Roman" w:hAnsi="Times New Roman" w:eastAsia="仿宋_GB2312"/>
                <w:sz w:val="18"/>
                <w:szCs w:val="18"/>
              </w:rPr>
            </w:pPr>
            <w:r>
              <w:rPr>
                <w:rFonts w:ascii="Times New Roman" w:hAnsi="Times New Roman" w:eastAsia="仿宋_GB2312"/>
                <w:sz w:val="18"/>
                <w:szCs w:val="18"/>
              </w:rPr>
              <w:t>主要生态影响（不够时可附另页）</w:t>
            </w:r>
          </w:p>
          <w:p>
            <w:pPr>
              <w:kinsoku w:val="0"/>
              <w:overflowPunct w:val="0"/>
              <w:autoSpaceDE w:val="0"/>
              <w:autoSpaceDN w:val="0"/>
              <w:adjustRightInd w:val="0"/>
              <w:snapToGrid w:val="0"/>
              <w:ind w:firstLine="420"/>
              <w:rPr>
                <w:rFonts w:ascii="Times New Roman" w:hAnsi="Times New Roman" w:eastAsia="仿宋_GB2312"/>
                <w:color w:val="000000"/>
                <w:sz w:val="18"/>
                <w:szCs w:val="18"/>
              </w:rPr>
            </w:pPr>
            <w:r>
              <w:rPr>
                <w:rFonts w:ascii="Times New Roman" w:hAnsi="Times New Roman" w:eastAsia="仿宋_GB2312"/>
                <w:color w:val="000000"/>
                <w:sz w:val="18"/>
                <w:szCs w:val="18"/>
              </w:rPr>
              <w:t>本项目在现有大楼内进行改造，未新增用地。</w:t>
            </w:r>
            <w:r>
              <w:rPr>
                <w:rFonts w:hint="eastAsia" w:ascii="Times New Roman" w:hAnsi="Times New Roman" w:eastAsia="仿宋_GB2312"/>
                <w:color w:val="000000"/>
                <w:sz w:val="18"/>
                <w:szCs w:val="18"/>
              </w:rPr>
              <w:t>距离本项目最近的生态空间管控区域为秦淮河（南京市区）洪水调蓄区，位于本项目东北侧，距离约730m，项目建设不会对生态管控区域造成影响。</w:t>
            </w:r>
            <w:r>
              <w:rPr>
                <w:rFonts w:ascii="Times New Roman" w:hAnsi="Times New Roman" w:eastAsia="仿宋_GB2312"/>
                <w:color w:val="000000"/>
                <w:sz w:val="18"/>
                <w:szCs w:val="18"/>
              </w:rPr>
              <w:t>项目废水、废气、噪声排放均符合相应的排放标准，固废零排放，对生态环境的影响较小。</w:t>
            </w:r>
          </w:p>
        </w:tc>
      </w:tr>
    </w:tbl>
    <w:p>
      <w:pPr>
        <w:rPr>
          <w:kern w:val="44"/>
        </w:rPr>
      </w:pPr>
      <w:r>
        <w:br w:type="page"/>
      </w: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七、环境影响分析</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8" w:hRule="atLeast"/>
        </w:trPr>
        <w:tc>
          <w:tcPr>
            <w:tcW w:w="8529" w:type="dxa"/>
          </w:tcPr>
          <w:p>
            <w:pPr>
              <w:spacing w:line="480" w:lineRule="exact"/>
              <w:rPr>
                <w:rFonts w:ascii="Times New Roman" w:hAnsi="Times New Roman" w:eastAsia="仿宋_GB2312"/>
                <w:color w:val="000000"/>
                <w:sz w:val="24"/>
                <w:szCs w:val="24"/>
              </w:rPr>
            </w:pPr>
            <w:r>
              <w:rPr>
                <w:rFonts w:ascii="Times New Roman" w:hAnsi="Times New Roman" w:eastAsia="仿宋_GB2312"/>
                <w:b/>
                <w:color w:val="000000"/>
                <w:sz w:val="24"/>
                <w:szCs w:val="24"/>
              </w:rPr>
              <w:t>1、施工期环境影响分析：</w:t>
            </w:r>
          </w:p>
          <w:p>
            <w:pPr>
              <w:pStyle w:val="82"/>
              <w:spacing w:line="500" w:lineRule="exact"/>
              <w:rPr>
                <w:rFonts w:eastAsia="仿宋_GB2312"/>
                <w:szCs w:val="24"/>
              </w:rPr>
            </w:pPr>
            <w:r>
              <w:rPr>
                <w:rFonts w:eastAsia="仿宋_GB2312"/>
                <w:szCs w:val="24"/>
              </w:rPr>
              <w:t>（1）施工期大气环境影响及防治措施</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szCs w:val="24"/>
              </w:rPr>
              <w:t>①</w:t>
            </w:r>
            <w:r>
              <w:rPr>
                <w:rFonts w:ascii="Times New Roman" w:hAnsi="Times New Roman" w:eastAsia="仿宋_GB2312"/>
                <w:color w:val="000000"/>
                <w:sz w:val="24"/>
                <w:szCs w:val="24"/>
              </w:rPr>
              <w:t>施工车辆尾气</w:t>
            </w:r>
          </w:p>
          <w:p>
            <w:pPr>
              <w:pStyle w:val="82"/>
              <w:spacing w:line="500" w:lineRule="exact"/>
              <w:rPr>
                <w:rFonts w:eastAsia="仿宋_GB2312"/>
                <w:szCs w:val="24"/>
              </w:rPr>
            </w:pPr>
            <w:r>
              <w:rPr>
                <w:rFonts w:hint="eastAsia" w:eastAsia="仿宋_GB2312"/>
                <w:szCs w:val="24"/>
              </w:rPr>
              <w:t>施工期间，车辆进出较为频繁，由于项目所在地道路状况较好，此处不考虑车辆移动所造成的扬尘，仅考虑排放尾气。工</w:t>
            </w:r>
            <w:r>
              <w:rPr>
                <w:rFonts w:eastAsia="仿宋_GB2312"/>
                <w:szCs w:val="24"/>
              </w:rPr>
              <w:t>程施工用车以3辆计，以每车1天耗油50L计算，根据《环境保护实用数据》机动车辆大气污染物排放系数计算，以柴油为燃料的一氧化碳产生量为16.2g/L，碳氢化合物的产生量为2.664g/L，氮氧化合物的产生量为26.64g/L。则施工机械设备每天排放的尾气中含CO 4.05kg、THC 0.666kg、NOx 6.66kg。</w:t>
            </w:r>
            <w:r>
              <w:rPr>
                <w:rFonts w:hint="eastAsia" w:eastAsia="仿宋_GB2312"/>
                <w:szCs w:val="24"/>
              </w:rPr>
              <w:t>对周边大气环境影响较小。</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宋体" w:hAnsi="宋体" w:cs="宋体"/>
                <w:color w:val="000000"/>
                <w:sz w:val="24"/>
                <w:szCs w:val="24"/>
              </w:rPr>
              <w:t>②</w:t>
            </w:r>
            <w:r>
              <w:rPr>
                <w:rFonts w:ascii="Times New Roman" w:hAnsi="Times New Roman" w:eastAsia="仿宋_GB2312"/>
                <w:color w:val="000000"/>
                <w:sz w:val="24"/>
                <w:szCs w:val="24"/>
              </w:rPr>
              <w:t>油漆废气</w:t>
            </w:r>
          </w:p>
          <w:p>
            <w:pPr>
              <w:pStyle w:val="82"/>
              <w:spacing w:line="500" w:lineRule="exact"/>
              <w:rPr>
                <w:rFonts w:eastAsia="仿宋_GB2312"/>
                <w:szCs w:val="24"/>
              </w:rPr>
            </w:pPr>
            <w:r>
              <w:rPr>
                <w:rFonts w:hint="eastAsia" w:eastAsia="仿宋_GB2312"/>
                <w:szCs w:val="24"/>
              </w:rPr>
              <w:t>室内装修阶段对环境产生污染的材料主要是人造板、饰面人造板以及油漆等有机溶剂，其主要污染因子为甲苯和二甲苯，此外还有极少量的汽油、丁醇和丙醇等。</w:t>
            </w:r>
          </w:p>
          <w:p>
            <w:pPr>
              <w:pStyle w:val="82"/>
              <w:spacing w:line="500" w:lineRule="exact"/>
              <w:rPr>
                <w:rFonts w:eastAsia="仿宋_GB2312"/>
                <w:szCs w:val="24"/>
              </w:rPr>
            </w:pPr>
            <w:r>
              <w:rPr>
                <w:rFonts w:hint="eastAsia" w:eastAsia="仿宋_GB2312"/>
                <w:szCs w:val="24"/>
              </w:rPr>
              <w:t>根据本项目工程分析，装修阶段向周围大气环境排放甲苯和二甲苯约</w:t>
            </w:r>
            <w:r>
              <w:rPr>
                <w:rFonts w:eastAsia="仿宋_GB2312"/>
                <w:szCs w:val="24"/>
              </w:rPr>
              <w:t>285.414kg</w:t>
            </w:r>
            <w:r>
              <w:rPr>
                <w:rFonts w:hint="eastAsia" w:eastAsia="仿宋_GB2312"/>
                <w:szCs w:val="24"/>
              </w:rPr>
              <w:t>。但排放时间和部位不能十分明确。装修阶段的油漆废气排放周期短，且作业点分散。因此，在装修油漆期间，应加强室内的通风换气，预计建设项目此部分产生的大气污染物对周围环境影响较小。</w:t>
            </w:r>
          </w:p>
          <w:p>
            <w:pPr>
              <w:pStyle w:val="82"/>
              <w:spacing w:line="500" w:lineRule="exact"/>
              <w:rPr>
                <w:rFonts w:eastAsia="仿宋_GB2312"/>
                <w:szCs w:val="24"/>
              </w:rPr>
            </w:pPr>
            <w:r>
              <w:rPr>
                <w:rFonts w:eastAsia="仿宋_GB2312"/>
                <w:szCs w:val="24"/>
              </w:rPr>
              <w:t>（2）施工期废水环境影响及防治措施</w:t>
            </w:r>
          </w:p>
          <w:p>
            <w:pPr>
              <w:pStyle w:val="82"/>
              <w:spacing w:line="500" w:lineRule="exact"/>
              <w:rPr>
                <w:rFonts w:eastAsia="仿宋_GB2312"/>
                <w:szCs w:val="24"/>
              </w:rPr>
            </w:pPr>
            <w:r>
              <w:rPr>
                <w:rFonts w:eastAsia="仿宋_GB2312"/>
                <w:szCs w:val="24"/>
              </w:rPr>
              <w:t>施工期产生的生活污水通过化粪池处理后，经市政污水管网排入江心洲污水处理厂处理。由于项目施工期产生的生活污水量较小，时间较短，对水环境基本无影响。</w:t>
            </w:r>
          </w:p>
          <w:p>
            <w:pPr>
              <w:pStyle w:val="82"/>
              <w:spacing w:line="500" w:lineRule="exact"/>
              <w:rPr>
                <w:rFonts w:eastAsia="仿宋_GB2312"/>
                <w:szCs w:val="24"/>
              </w:rPr>
            </w:pPr>
            <w:r>
              <w:rPr>
                <w:rFonts w:eastAsia="仿宋_GB2312"/>
                <w:szCs w:val="24"/>
              </w:rPr>
              <w:t>（3）施工期声环境影响及防治措施</w:t>
            </w:r>
          </w:p>
          <w:p>
            <w:pPr>
              <w:pStyle w:val="82"/>
              <w:spacing w:line="500" w:lineRule="exact"/>
              <w:rPr>
                <w:rFonts w:eastAsia="仿宋_GB2312"/>
                <w:szCs w:val="24"/>
              </w:rPr>
            </w:pPr>
            <w:r>
              <w:rPr>
                <w:rFonts w:hint="eastAsia" w:eastAsia="仿宋_GB2312"/>
                <w:szCs w:val="24"/>
              </w:rPr>
              <w:t>施工期噪声主要来自大楼装修、设备安装阶段电钻、电锤等设备噪声，其声级为100-105dB(A)</w:t>
            </w:r>
            <w:r>
              <w:rPr>
                <w:rFonts w:eastAsia="仿宋_GB2312"/>
                <w:szCs w:val="24"/>
              </w:rPr>
              <w:t>，会造成局部时段边界噪声超标，因此，</w:t>
            </w:r>
            <w:r>
              <w:rPr>
                <w:rFonts w:hint="eastAsia" w:eastAsia="仿宋_GB2312"/>
                <w:szCs w:val="24"/>
              </w:rPr>
              <w:t>本评价建议建设单位采取以下措施降低噪声影响：</w:t>
            </w:r>
          </w:p>
          <w:p>
            <w:pPr>
              <w:pStyle w:val="82"/>
              <w:spacing w:line="500" w:lineRule="exact"/>
              <w:rPr>
                <w:rFonts w:eastAsia="仿宋_GB2312"/>
                <w:szCs w:val="24"/>
              </w:rPr>
            </w:pPr>
            <w:r>
              <w:rPr>
                <w:rFonts w:hint="eastAsia" w:eastAsia="仿宋_GB2312"/>
                <w:szCs w:val="24"/>
              </w:rPr>
              <w:t>（1）建设单位在与施工单位签订合同时，应要求其使用的主要机械设备为低噪声及振动的机械设备，如低噪声和振动的电钻等。同时在施工过程中施工单位应设专人对设备进行定期保养和维护，并负责对现场工作人员进行培训，严格按照操作规范使用各类机械。</w:t>
            </w:r>
          </w:p>
          <w:p>
            <w:pPr>
              <w:pStyle w:val="82"/>
              <w:spacing w:line="500" w:lineRule="exact"/>
              <w:rPr>
                <w:rFonts w:eastAsia="仿宋_GB2312"/>
                <w:szCs w:val="24"/>
              </w:rPr>
            </w:pPr>
            <w:r>
              <w:rPr>
                <w:rFonts w:hint="eastAsia" w:eastAsia="仿宋_GB2312"/>
                <w:szCs w:val="24"/>
              </w:rPr>
              <w:t>（2）安排好施工时间，禁止当日22时至次日6时及中午12时至14时产生噪声污染的施工作业，避免施工噪声对建设地附件居民的生活产生较大影响。根据《中华人民共和国环境噪声污染防治法》第三十条，因特殊需要必须连续作业的，必须有县级以上人民政府或者其有关主管部门的证明，同时事先告知周围居民，以取得谅解。</w:t>
            </w:r>
          </w:p>
          <w:p>
            <w:pPr>
              <w:pStyle w:val="82"/>
              <w:spacing w:line="500" w:lineRule="exact"/>
              <w:rPr>
                <w:rFonts w:eastAsia="仿宋_GB2312"/>
                <w:szCs w:val="24"/>
              </w:rPr>
            </w:pPr>
            <w:r>
              <w:rPr>
                <w:rFonts w:hint="eastAsia" w:eastAsia="仿宋_GB2312"/>
                <w:szCs w:val="24"/>
              </w:rPr>
              <w:t>（3）施工企业对施工噪声进行自律，文明施工，砂石等原料选择在白天运输、卸落，施工员工休息时尽量避免大声喧哗，避免因施工噪声产生纠纷。</w:t>
            </w:r>
          </w:p>
          <w:p>
            <w:pPr>
              <w:pStyle w:val="82"/>
              <w:spacing w:line="500" w:lineRule="exact"/>
              <w:rPr>
                <w:rFonts w:eastAsia="仿宋_GB2312"/>
                <w:szCs w:val="24"/>
              </w:rPr>
            </w:pPr>
            <w:r>
              <w:rPr>
                <w:rFonts w:hint="eastAsia" w:eastAsia="仿宋_GB2312"/>
                <w:szCs w:val="24"/>
              </w:rPr>
              <w:t>（4）在施工的结构阶段和装修阶段，对建筑物的外部采取围挡，减轻施工噪声对外环境及居民的影响。施工场所的施工车辆出入尽量保持低速行驶，禁鸣喇叭。</w:t>
            </w:r>
          </w:p>
          <w:p>
            <w:pPr>
              <w:pStyle w:val="82"/>
              <w:spacing w:line="500" w:lineRule="exact"/>
              <w:rPr>
                <w:rFonts w:eastAsia="仿宋_GB2312"/>
                <w:szCs w:val="24"/>
              </w:rPr>
            </w:pPr>
            <w:r>
              <w:rPr>
                <w:rFonts w:hint="eastAsia" w:eastAsia="仿宋_GB2312"/>
                <w:szCs w:val="24"/>
              </w:rPr>
              <w:t>以上各项措施是可行的，关键是在施工时要严格加强管理，切实落实各项治理措施，在此前提下，项目在施工期对声环境质量的影响可降至最低。</w:t>
            </w:r>
          </w:p>
          <w:p>
            <w:pPr>
              <w:pStyle w:val="82"/>
              <w:spacing w:line="500" w:lineRule="exact"/>
              <w:rPr>
                <w:rFonts w:eastAsia="仿宋_GB2312"/>
                <w:szCs w:val="24"/>
              </w:rPr>
            </w:pPr>
            <w:r>
              <w:rPr>
                <w:rFonts w:eastAsia="仿宋_GB2312"/>
                <w:szCs w:val="24"/>
              </w:rPr>
              <w:t>（4）施工期固体废物影响及防治措施</w:t>
            </w:r>
          </w:p>
          <w:p>
            <w:pPr>
              <w:pStyle w:val="82"/>
              <w:spacing w:line="500" w:lineRule="exact"/>
              <w:rPr>
                <w:rFonts w:eastAsia="仿宋_GB2312"/>
                <w:szCs w:val="24"/>
              </w:rPr>
            </w:pPr>
            <w:r>
              <w:rPr>
                <w:rFonts w:eastAsia="仿宋_GB2312"/>
                <w:szCs w:val="24"/>
              </w:rPr>
              <w:t>施工期的固体废物主要是</w:t>
            </w:r>
            <w:r>
              <w:rPr>
                <w:rFonts w:hint="eastAsia" w:eastAsia="仿宋_GB2312"/>
                <w:szCs w:val="24"/>
              </w:rPr>
              <w:t>包装材料、</w:t>
            </w:r>
            <w:r>
              <w:rPr>
                <w:rFonts w:eastAsia="仿宋_GB2312"/>
                <w:szCs w:val="24"/>
              </w:rPr>
              <w:t>装修垃圾和生活垃圾。</w:t>
            </w:r>
          </w:p>
          <w:p>
            <w:pPr>
              <w:pStyle w:val="82"/>
              <w:spacing w:line="500" w:lineRule="exact"/>
              <w:rPr>
                <w:rFonts w:eastAsia="仿宋_GB2312"/>
                <w:szCs w:val="24"/>
              </w:rPr>
            </w:pPr>
            <w:r>
              <w:rPr>
                <w:rFonts w:hint="eastAsia" w:eastAsia="仿宋_GB2312"/>
                <w:szCs w:val="24"/>
              </w:rPr>
              <w:t>包装材料和</w:t>
            </w:r>
            <w:r>
              <w:rPr>
                <w:rFonts w:eastAsia="仿宋_GB2312"/>
                <w:szCs w:val="24"/>
              </w:rPr>
              <w:t>装修垃圾</w:t>
            </w:r>
            <w:r>
              <w:rPr>
                <w:rFonts w:hint="eastAsia" w:eastAsia="仿宋_GB2312"/>
                <w:szCs w:val="24"/>
              </w:rPr>
              <w:t>应由施工单位运至指定地点处置，</w:t>
            </w:r>
            <w:r>
              <w:rPr>
                <w:rFonts w:eastAsia="仿宋_GB2312"/>
                <w:szCs w:val="24"/>
              </w:rPr>
              <w:t>不得随意堆放或是随意丢弃；生活垃圾应由环卫部门统一清运处理。故项目施工期产生的固废不对周边环境产生影响。</w:t>
            </w:r>
          </w:p>
          <w:p>
            <w:pPr>
              <w:pStyle w:val="82"/>
              <w:spacing w:line="500" w:lineRule="exact"/>
              <w:rPr>
                <w:rFonts w:eastAsia="仿宋_GB2312"/>
                <w:szCs w:val="24"/>
              </w:rPr>
            </w:pPr>
            <w:r>
              <w:rPr>
                <w:rFonts w:eastAsia="仿宋_GB2312"/>
                <w:szCs w:val="24"/>
              </w:rPr>
              <w:t>项目施工期对环境产生的上述影响均为短期的，建成后，影响即自行消除。建设单位和施工单位在施工过程中只要切实落实对施工产生的废气、废水、固体废物、噪声的管理和控制措施，施工期的环境影响将得到有效控制，建设项目施工期对当地环境质量影响较小。</w:t>
            </w:r>
          </w:p>
          <w:p>
            <w:pPr>
              <w:pStyle w:val="82"/>
              <w:spacing w:line="500" w:lineRule="exact"/>
              <w:rPr>
                <w:rFonts w:eastAsia="仿宋_GB2312"/>
                <w:szCs w:val="24"/>
              </w:rPr>
            </w:pPr>
            <w:r>
              <w:rPr>
                <w:rFonts w:eastAsia="仿宋_GB2312"/>
                <w:szCs w:val="24"/>
              </w:rPr>
              <w:t>（5）施工期生态影响及防治措施</w:t>
            </w:r>
          </w:p>
          <w:p>
            <w:pPr>
              <w:pStyle w:val="82"/>
              <w:spacing w:line="500" w:lineRule="exact"/>
              <w:rPr>
                <w:rFonts w:eastAsia="仿宋_GB2312"/>
                <w:szCs w:val="24"/>
              </w:rPr>
            </w:pPr>
            <w:r>
              <w:rPr>
                <w:rFonts w:eastAsia="仿宋_GB2312"/>
                <w:szCs w:val="24"/>
              </w:rPr>
              <w:t>本项目在现有大楼内进行施工改造，未新增用地</w:t>
            </w:r>
            <w:r>
              <w:rPr>
                <w:rFonts w:hint="eastAsia" w:eastAsia="仿宋_GB2312"/>
                <w:szCs w:val="24"/>
              </w:rPr>
              <w:t>，周边主要为城市建成区</w:t>
            </w:r>
            <w:r>
              <w:rPr>
                <w:rFonts w:eastAsia="仿宋_GB2312"/>
                <w:szCs w:val="24"/>
              </w:rPr>
              <w:t>。施工过程中做好施工废气、废水、噪声及固废污染防治措施，可有效减少施工期对生态环境的影响。随着施工期的结束，施工期对生态环境的影响也随之结束。</w:t>
            </w:r>
          </w:p>
          <w:p>
            <w:pPr>
              <w:pStyle w:val="82"/>
              <w:spacing w:line="500" w:lineRule="exact"/>
              <w:ind w:firstLine="0" w:firstLineChars="0"/>
              <w:rPr>
                <w:rFonts w:eastAsia="仿宋_GB2312"/>
                <w:b/>
                <w:kern w:val="0"/>
                <w:szCs w:val="24"/>
              </w:rPr>
            </w:pPr>
            <w:r>
              <w:rPr>
                <w:rFonts w:eastAsia="仿宋_GB2312"/>
                <w:b/>
                <w:kern w:val="0"/>
                <w:szCs w:val="24"/>
              </w:rPr>
              <w:t>2、营运期环境影响分析</w:t>
            </w:r>
          </w:p>
          <w:p>
            <w:pPr>
              <w:adjustRightInd w:val="0"/>
              <w:snapToGrid w:val="0"/>
              <w:spacing w:line="500" w:lineRule="exact"/>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（1）大气环境影响分析</w:t>
            </w:r>
          </w:p>
          <w:p>
            <w:pPr>
              <w:autoSpaceDE w:val="0"/>
              <w:autoSpaceDN w:val="0"/>
              <w:adjustRightInd w:val="0"/>
              <w:snapToGrid w:val="0"/>
              <w:spacing w:line="500" w:lineRule="exact"/>
              <w:ind w:firstLine="480" w:firstLineChars="200"/>
              <w:rPr>
                <w:rFonts w:ascii="Times New Roman" w:hAnsi="Times New Roman" w:eastAsia="仿宋_GB2312"/>
                <w:color w:val="000000"/>
              </w:rPr>
            </w:pPr>
            <w:r>
              <w:rPr>
                <w:rFonts w:ascii="Times New Roman" w:hAnsi="Times New Roman" w:eastAsia="仿宋_GB2312"/>
                <w:color w:val="000000"/>
                <w:sz w:val="24"/>
                <w:szCs w:val="24"/>
              </w:rPr>
              <w:t>项目产生的废气主要来源于实验准备（样品预处理、试剂配置）、样品检测、试剂及样品留存过程中产生的挥发性气体，主要包括酸性气体及挥发性有机废气。</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实验室设置通风橱、集气罩收集前处理及检测过程的实验废气，通过</w:t>
            </w:r>
            <w:r>
              <w:rPr>
                <w:rFonts w:hint="eastAsia" w:ascii="Times New Roman" w:hAnsi="Times New Roman" w:eastAsia="仿宋_GB2312"/>
                <w:color w:val="000000"/>
                <w:sz w:val="24"/>
                <w:szCs w:val="24"/>
              </w:rPr>
              <w:t>风机</w:t>
            </w:r>
            <w:r>
              <w:rPr>
                <w:rFonts w:ascii="Times New Roman" w:hAnsi="Times New Roman" w:eastAsia="仿宋_GB2312"/>
                <w:color w:val="000000"/>
                <w:sz w:val="24"/>
                <w:szCs w:val="24"/>
              </w:rPr>
              <w:t>管道引至1套活性炭吸附装置处理后，通过楼顶1根25m排气筒排放。</w:t>
            </w:r>
          </w:p>
          <w:p>
            <w:pPr>
              <w:autoSpaceDE w:val="0"/>
              <w:autoSpaceDN w:val="0"/>
              <w:adjustRightInd w:val="0"/>
              <w:snapToGrid w:val="0"/>
              <w:spacing w:line="500" w:lineRule="exact"/>
              <w:ind w:firstLine="480" w:firstLineChars="200"/>
              <w:rPr>
                <w:rFonts w:ascii="Times New Roman" w:hAnsi="Times New Roman" w:eastAsia="仿宋_GB2312"/>
                <w:color w:val="000000"/>
                <w:kern w:val="21"/>
                <w:sz w:val="24"/>
                <w:szCs w:val="24"/>
                <w:lang w:val="zh-CN"/>
              </w:rPr>
            </w:pPr>
            <w:r>
              <w:rPr>
                <w:rFonts w:ascii="Times New Roman" w:hAnsi="Times New Roman" w:eastAsia="仿宋_GB2312"/>
                <w:color w:val="000000"/>
                <w:kern w:val="21"/>
                <w:sz w:val="24"/>
                <w:szCs w:val="24"/>
                <w:lang w:val="zh-CN"/>
              </w:rPr>
              <w:fldChar w:fldCharType="begin"/>
            </w:r>
            <w:r>
              <w:rPr>
                <w:rFonts w:ascii="Times New Roman" w:hAnsi="Times New Roman" w:eastAsia="仿宋_GB2312"/>
                <w:color w:val="000000"/>
                <w:kern w:val="21"/>
                <w:sz w:val="24"/>
                <w:szCs w:val="24"/>
                <w:lang w:val="zh-CN"/>
              </w:rPr>
              <w:instrText xml:space="preserve"> = 1 \* GB3 </w:instrText>
            </w:r>
            <w:r>
              <w:rPr>
                <w:rFonts w:ascii="Times New Roman" w:hAnsi="Times New Roman" w:eastAsia="仿宋_GB2312"/>
                <w:color w:val="000000"/>
                <w:kern w:val="21"/>
                <w:sz w:val="24"/>
                <w:szCs w:val="24"/>
                <w:lang w:val="zh-CN"/>
              </w:rPr>
              <w:fldChar w:fldCharType="separate"/>
            </w:r>
            <w:r>
              <w:rPr>
                <w:rFonts w:hint="eastAsia" w:ascii="宋体" w:hAnsi="宋体" w:cs="宋体"/>
                <w:color w:val="000000"/>
                <w:kern w:val="21"/>
                <w:sz w:val="24"/>
                <w:szCs w:val="24"/>
                <w:lang w:val="zh-CN"/>
              </w:rPr>
              <w:t>①</w:t>
            </w:r>
            <w:r>
              <w:rPr>
                <w:rFonts w:ascii="Times New Roman" w:hAnsi="Times New Roman" w:eastAsia="仿宋_GB2312"/>
                <w:color w:val="000000"/>
                <w:kern w:val="21"/>
                <w:sz w:val="24"/>
                <w:szCs w:val="24"/>
                <w:lang w:val="zh-CN"/>
              </w:rPr>
              <w:fldChar w:fldCharType="end"/>
            </w:r>
            <w:r>
              <w:rPr>
                <w:rFonts w:ascii="Times New Roman" w:hAnsi="Times New Roman" w:eastAsia="仿宋_GB2312"/>
                <w:color w:val="000000"/>
                <w:kern w:val="21"/>
                <w:sz w:val="24"/>
                <w:szCs w:val="24"/>
                <w:lang w:val="zh-CN"/>
              </w:rPr>
              <w:t>大气环境影响评价工作等级的确定</w:t>
            </w:r>
          </w:p>
          <w:p>
            <w:pPr>
              <w:autoSpaceDE w:val="0"/>
              <w:autoSpaceDN w:val="0"/>
              <w:adjustRightInd w:val="0"/>
              <w:snapToGrid w:val="0"/>
              <w:spacing w:line="500" w:lineRule="exact"/>
              <w:ind w:firstLine="480" w:firstLineChars="200"/>
              <w:rPr>
                <w:rFonts w:ascii="Times New Roman" w:hAnsi="Times New Roman" w:eastAsia="仿宋_GB2312"/>
                <w:color w:val="000000"/>
                <w:kern w:val="21"/>
                <w:sz w:val="24"/>
                <w:szCs w:val="24"/>
                <w:lang w:val="zh-CN"/>
              </w:rPr>
            </w:pPr>
            <w:r>
              <w:rPr>
                <w:rFonts w:ascii="Times New Roman" w:hAnsi="Times New Roman" w:eastAsia="仿宋_GB2312"/>
                <w:color w:val="000000"/>
                <w:kern w:val="21"/>
                <w:sz w:val="24"/>
                <w:szCs w:val="24"/>
                <w:lang w:val="zh-CN"/>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0"/>
              </w:rPr>
              <w:fldChar w:fldCharType="begin"/>
            </w:r>
            <w:r>
              <w:rPr>
                <w:rFonts w:ascii="Times New Roman" w:hAnsi="Times New Roman" w:eastAsia="仿宋_GB2312"/>
                <w:color w:val="000000"/>
                <w:sz w:val="24"/>
                <w:szCs w:val="20"/>
              </w:rPr>
              <w:instrText xml:space="preserve"> = 1 \* alphabetic </w:instrText>
            </w:r>
            <w:r>
              <w:rPr>
                <w:rFonts w:ascii="Times New Roman" w:hAnsi="Times New Roman" w:eastAsia="仿宋_GB2312"/>
                <w:color w:val="000000"/>
                <w:sz w:val="24"/>
                <w:szCs w:val="20"/>
              </w:rPr>
              <w:fldChar w:fldCharType="separate"/>
            </w:r>
            <w:r>
              <w:rPr>
                <w:rFonts w:ascii="Times New Roman" w:hAnsi="Times New Roman" w:eastAsia="仿宋_GB2312"/>
                <w:color w:val="000000"/>
                <w:sz w:val="24"/>
                <w:szCs w:val="20"/>
              </w:rPr>
              <w:t>a</w:t>
            </w:r>
            <w:r>
              <w:rPr>
                <w:rFonts w:ascii="Times New Roman" w:hAnsi="Times New Roman" w:eastAsia="仿宋_GB2312"/>
                <w:color w:val="000000"/>
                <w:sz w:val="24"/>
                <w:szCs w:val="20"/>
              </w:rPr>
              <w:fldChar w:fldCharType="end"/>
            </w:r>
            <w:r>
              <w:rPr>
                <w:rFonts w:ascii="Times New Roman" w:hAnsi="Times New Roman" w:eastAsia="仿宋_GB2312"/>
                <w:color w:val="000000"/>
                <w:sz w:val="24"/>
                <w:szCs w:val="20"/>
              </w:rPr>
              <w:t>、</w:t>
            </w:r>
            <w:r>
              <w:rPr>
                <w:rFonts w:ascii="Times New Roman" w:hAnsi="Times New Roman" w:eastAsia="仿宋_GB2312"/>
                <w:color w:val="000000"/>
                <w:sz w:val="24"/>
                <w:szCs w:val="24"/>
              </w:rPr>
              <w:t>P</w:t>
            </w:r>
            <w:r>
              <w:rPr>
                <w:rFonts w:ascii="Times New Roman" w:hAnsi="Times New Roman" w:eastAsia="仿宋_GB2312"/>
                <w:color w:val="000000"/>
                <w:sz w:val="24"/>
                <w:szCs w:val="24"/>
                <w:vertAlign w:val="subscript"/>
              </w:rPr>
              <w:t>max</w:t>
            </w:r>
            <w:r>
              <w:rPr>
                <w:rFonts w:ascii="Times New Roman" w:hAnsi="Times New Roman" w:eastAsia="仿宋_GB2312"/>
                <w:color w:val="000000"/>
                <w:sz w:val="24"/>
                <w:szCs w:val="24"/>
              </w:rPr>
              <w:t>及D</w:t>
            </w:r>
            <w:r>
              <w:rPr>
                <w:rFonts w:ascii="Times New Roman" w:hAnsi="Times New Roman" w:eastAsia="仿宋_GB2312"/>
                <w:color w:val="000000"/>
                <w:sz w:val="24"/>
                <w:szCs w:val="24"/>
                <w:vertAlign w:val="subscript"/>
              </w:rPr>
              <w:t>10%</w:t>
            </w:r>
            <w:r>
              <w:rPr>
                <w:rFonts w:ascii="Times New Roman" w:hAnsi="Times New Roman" w:eastAsia="仿宋_GB2312"/>
                <w:color w:val="000000"/>
                <w:sz w:val="24"/>
                <w:szCs w:val="24"/>
              </w:rPr>
              <w:t>的确定</w:t>
            </w:r>
          </w:p>
          <w:p>
            <w:pPr>
              <w:spacing w:line="500" w:lineRule="exact"/>
              <w:ind w:firstLine="422" w:firstLineChars="176"/>
              <w:rPr>
                <w:rFonts w:ascii="Times New Roman" w:hAnsi="Times New Roman" w:eastAsia="仿宋_GB2312"/>
                <w:color w:val="000000"/>
                <w:sz w:val="24"/>
                <w:szCs w:val="24"/>
              </w:rPr>
            </w:pPr>
            <w:r>
              <w:rPr>
                <w:rFonts w:ascii="Times New Roman" w:hAnsi="Times New Roman" w:eastAsia="仿宋_GB2312"/>
                <w:color w:val="000000"/>
                <w:sz w:val="24"/>
                <w:szCs w:val="24"/>
              </w:rPr>
              <w:t>依据《环境影响评价技术导则 大气环境》（HJ2.2-2018）中最大地面浓度占标率P</w:t>
            </w:r>
            <w:r>
              <w:rPr>
                <w:rFonts w:ascii="Times New Roman" w:hAnsi="Times New Roman" w:eastAsia="仿宋_GB2312"/>
                <w:i/>
                <w:color w:val="000000"/>
                <w:sz w:val="24"/>
                <w:szCs w:val="24"/>
              </w:rPr>
              <w:t>i</w:t>
            </w:r>
            <w:r>
              <w:rPr>
                <w:rFonts w:ascii="Times New Roman" w:hAnsi="Times New Roman" w:eastAsia="仿宋_GB2312"/>
                <w:color w:val="000000"/>
                <w:sz w:val="24"/>
                <w:szCs w:val="24"/>
              </w:rPr>
              <w:t>定义如下：</w:t>
            </w:r>
          </w:p>
          <w:p>
            <w:pPr>
              <w:jc w:val="center"/>
              <w:rPr>
                <w:rFonts w:ascii="Times New Roman" w:hAnsi="Times New Roman" w:eastAsia="仿宋_GB2312"/>
                <w:color w:val="000000"/>
                <w:sz w:val="24"/>
                <w:szCs w:val="24"/>
              </w:rPr>
            </w:pPr>
            <m:oMathPara>
              <m:oMath>
                <m:sSub>
                  <m:sSubPr>
                    <m:ctrlPr>
                      <w:rPr>
                        <w:rFonts w:ascii="Cambria Math" w:hAnsi="Cambria Math" w:eastAsia="仿宋_GB2312"/>
                        <w:sz w:val="24"/>
                        <w:szCs w:val="24"/>
                      </w:rPr>
                    </m:ctrlPr>
                  </m:sSubPr>
                  <m:e>
                    <m:r>
                      <w:rPr>
                        <w:rFonts w:ascii="Cambria Math" w:hAnsi="Cambria Math" w:eastAsia="仿宋_GB2312"/>
                        <w:sz w:val="24"/>
                        <w:szCs w:val="24"/>
                      </w:rPr>
                      <m:t>P</m:t>
                    </m:r>
                    <m:ctrlPr>
                      <w:rPr>
                        <w:rFonts w:ascii="Cambria Math" w:hAnsi="Cambria Math" w:eastAsia="仿宋_GB2312"/>
                        <w:sz w:val="24"/>
                        <w:szCs w:val="24"/>
                      </w:rPr>
                    </m:ctrlPr>
                  </m:e>
                  <m:sub>
                    <m:r>
                      <w:rPr>
                        <w:rFonts w:ascii="Cambria Math" w:hAnsi="Cambria Math" w:eastAsia="仿宋_GB2312"/>
                        <w:sz w:val="24"/>
                        <w:szCs w:val="24"/>
                      </w:rPr>
                      <m:t>i</m:t>
                    </m:r>
                    <m:ctrlPr>
                      <w:rPr>
                        <w:rFonts w:ascii="Cambria Math" w:hAnsi="Cambria Math" w:eastAsia="仿宋_GB2312"/>
                        <w:sz w:val="24"/>
                        <w:szCs w:val="24"/>
                      </w:rPr>
                    </m:ctrlPr>
                  </m:sub>
                </m:sSub>
                <m:r>
                  <m:rPr>
                    <m:sty m:val="p"/>
                  </m:rPr>
                  <w:rPr>
                    <w:rFonts w:ascii="Cambria Math" w:hAnsi="Cambria Math" w:eastAsia="仿宋_GB2312"/>
                    <w:sz w:val="24"/>
                    <w:szCs w:val="24"/>
                  </w:rPr>
                  <m:t>=</m:t>
                </m:r>
                <m:f>
                  <m:fPr>
                    <m:ctrlPr>
                      <w:rPr>
                        <w:rFonts w:ascii="Cambria Math" w:hAnsi="Cambria Math" w:eastAsia="仿宋_GB2312"/>
                        <w:sz w:val="24"/>
                        <w:szCs w:val="24"/>
                      </w:rPr>
                    </m:ctrlPr>
                  </m:fPr>
                  <m:num>
                    <m:sSub>
                      <m:sSubPr>
                        <m:ctrlPr>
                          <w:rPr>
                            <w:rFonts w:ascii="Cambria Math" w:hAnsi="Cambria Math" w:eastAsia="仿宋_GB2312"/>
                            <w:i/>
                            <w:sz w:val="24"/>
                            <w:szCs w:val="24"/>
                          </w:rPr>
                        </m:ctrlPr>
                      </m:sSubPr>
                      <m:e>
                        <m:r>
                          <w:rPr>
                            <w:rFonts w:ascii="Cambria Math" w:hAnsi="Cambria Math" w:eastAsia="仿宋_GB2312"/>
                            <w:sz w:val="24"/>
                            <w:szCs w:val="24"/>
                          </w:rPr>
                          <m:t>C</m:t>
                        </m:r>
                        <m:ctrlPr>
                          <w:rPr>
                            <w:rFonts w:ascii="Cambria Math" w:hAnsi="Cambria Math" w:eastAsia="仿宋_GB2312"/>
                            <w:i/>
                            <w:sz w:val="24"/>
                            <w:szCs w:val="24"/>
                          </w:rPr>
                        </m:ctrlPr>
                      </m:e>
                      <m:sub>
                        <m:r>
                          <w:rPr>
                            <w:rFonts w:ascii="Cambria Math" w:hAnsi="Cambria Math" w:eastAsia="仿宋_GB2312"/>
                            <w:sz w:val="24"/>
                            <w:szCs w:val="24"/>
                          </w:rPr>
                          <m:t>i</m:t>
                        </m:r>
                        <m:ctrlPr>
                          <w:rPr>
                            <w:rFonts w:ascii="Cambria Math" w:hAnsi="Cambria Math" w:eastAsia="仿宋_GB2312"/>
                            <w:i/>
                            <w:sz w:val="24"/>
                            <w:szCs w:val="24"/>
                          </w:rPr>
                        </m:ctrlPr>
                      </m:sub>
                    </m:sSub>
                    <m:ctrlPr>
                      <w:rPr>
                        <w:rFonts w:ascii="Cambria Math" w:hAnsi="Cambria Math" w:eastAsia="仿宋_GB2312"/>
                        <w:sz w:val="24"/>
                        <w:szCs w:val="24"/>
                      </w:rPr>
                    </m:ctrlPr>
                  </m:num>
                  <m:den>
                    <m:sSub>
                      <m:sSubPr>
                        <m:ctrlPr>
                          <w:rPr>
                            <w:rFonts w:ascii="Cambria Math" w:hAnsi="Cambria Math" w:eastAsia="仿宋_GB2312"/>
                            <w:i/>
                            <w:sz w:val="24"/>
                            <w:szCs w:val="24"/>
                          </w:rPr>
                        </m:ctrlPr>
                      </m:sSubPr>
                      <m:e>
                        <m:r>
                          <w:rPr>
                            <w:rFonts w:ascii="Cambria Math" w:hAnsi="Cambria Math" w:eastAsia="仿宋_GB2312"/>
                            <w:sz w:val="24"/>
                            <w:szCs w:val="24"/>
                          </w:rPr>
                          <m:t>C</m:t>
                        </m:r>
                        <m:ctrlPr>
                          <w:rPr>
                            <w:rFonts w:ascii="Cambria Math" w:hAnsi="Cambria Math" w:eastAsia="仿宋_GB2312"/>
                            <w:i/>
                            <w:sz w:val="24"/>
                            <w:szCs w:val="24"/>
                          </w:rPr>
                        </m:ctrlPr>
                      </m:e>
                      <m:sub>
                        <m:r>
                          <w:rPr>
                            <w:rFonts w:ascii="Cambria Math" w:hAnsi="Cambria Math" w:eastAsia="仿宋_GB2312"/>
                            <w:sz w:val="24"/>
                            <w:szCs w:val="24"/>
                          </w:rPr>
                          <m:t>0i</m:t>
                        </m:r>
                        <m:ctrlPr>
                          <w:rPr>
                            <w:rFonts w:ascii="Cambria Math" w:hAnsi="Cambria Math" w:eastAsia="仿宋_GB2312"/>
                            <w:i/>
                            <w:sz w:val="24"/>
                            <w:szCs w:val="24"/>
                          </w:rPr>
                        </m:ctrlPr>
                      </m:sub>
                    </m:sSub>
                    <m:ctrlPr>
                      <w:rPr>
                        <w:rFonts w:ascii="Cambria Math" w:hAnsi="Cambria Math" w:eastAsia="仿宋_GB2312"/>
                        <w:sz w:val="24"/>
                        <w:szCs w:val="24"/>
                      </w:rPr>
                    </m:ctrlPr>
                  </m:den>
                </m:f>
                <m:r>
                  <w:rPr>
                    <w:rFonts w:ascii="Cambria Math" w:hAnsi="Cambria Math" w:eastAsia="仿宋_GB2312"/>
                    <w:sz w:val="24"/>
                    <w:szCs w:val="24"/>
                  </w:rPr>
                  <m:t>×100%</m:t>
                </m:r>
              </m:oMath>
            </m:oMathPara>
          </w:p>
          <w:p>
            <w:pPr>
              <w:spacing w:line="500" w:lineRule="exact"/>
              <w:ind w:firstLine="422" w:firstLineChars="176"/>
              <w:rPr>
                <w:rFonts w:ascii="Times New Roman" w:hAnsi="Times New Roman" w:eastAsia="仿宋_GB2312"/>
                <w:color w:val="000000"/>
                <w:sz w:val="24"/>
                <w:szCs w:val="24"/>
              </w:rPr>
            </w:pPr>
            <m:oMath>
              <m:sSub>
                <m:sSubPr>
                  <m:ctrlPr>
                    <w:rPr>
                      <w:rFonts w:ascii="Cambria Math" w:hAnsi="Cambria Math" w:eastAsia="仿宋_GB2312"/>
                      <w:sz w:val="24"/>
                      <w:szCs w:val="24"/>
                    </w:rPr>
                  </m:ctrlPr>
                </m:sSubPr>
                <m:e>
                  <m:r>
                    <w:rPr>
                      <w:rFonts w:ascii="Cambria Math" w:hAnsi="Cambria Math" w:eastAsia="仿宋_GB2312"/>
                      <w:sz w:val="24"/>
                      <w:szCs w:val="24"/>
                    </w:rPr>
                    <m:t>P</m:t>
                  </m:r>
                  <m:ctrlPr>
                    <w:rPr>
                      <w:rFonts w:ascii="Cambria Math" w:hAnsi="Cambria Math" w:eastAsia="仿宋_GB2312"/>
                      <w:sz w:val="24"/>
                      <w:szCs w:val="24"/>
                    </w:rPr>
                  </m:ctrlPr>
                </m:e>
                <m:sub>
                  <m:r>
                    <w:rPr>
                      <w:rFonts w:ascii="Cambria Math" w:hAnsi="Cambria Math" w:eastAsia="仿宋_GB2312"/>
                      <w:sz w:val="24"/>
                      <w:szCs w:val="24"/>
                    </w:rPr>
                    <m:t>i</m:t>
                  </m:r>
                  <m:ctrlPr>
                    <w:rPr>
                      <w:rFonts w:ascii="Cambria Math" w:hAnsi="Cambria Math" w:eastAsia="仿宋_GB2312"/>
                      <w:sz w:val="24"/>
                      <w:szCs w:val="24"/>
                    </w:rPr>
                  </m:ctrlPr>
                </m:sub>
              </m:sSub>
            </m:oMath>
            <w:r>
              <w:rPr>
                <w:rFonts w:ascii="Times New Roman" w:hAnsi="Times New Roman" w:eastAsia="仿宋_GB2312"/>
                <w:color w:val="000000"/>
                <w:sz w:val="24"/>
                <w:szCs w:val="24"/>
              </w:rPr>
              <w:t xml:space="preserve"> ——第i个污染物的最大地面空气质量浓度占标率，%；</w:t>
            </w:r>
          </w:p>
          <w:p>
            <w:pPr>
              <w:spacing w:line="500" w:lineRule="exact"/>
              <w:ind w:firstLine="422" w:firstLineChars="176"/>
              <w:rPr>
                <w:rFonts w:ascii="Times New Roman" w:hAnsi="Times New Roman" w:eastAsia="仿宋_GB2312"/>
                <w:color w:val="000000"/>
                <w:sz w:val="24"/>
                <w:szCs w:val="24"/>
              </w:rPr>
            </w:pPr>
            <m:oMath>
              <m:sSub>
                <m:sSubPr>
                  <m:ctrlPr>
                    <w:rPr>
                      <w:rFonts w:ascii="Cambria Math" w:hAnsi="Cambria Math" w:eastAsia="仿宋_GB2312"/>
                      <w:i/>
                      <w:sz w:val="24"/>
                      <w:szCs w:val="24"/>
                    </w:rPr>
                  </m:ctrlPr>
                </m:sSubPr>
                <m:e>
                  <m:r>
                    <w:rPr>
                      <w:rFonts w:ascii="Cambria Math" w:hAnsi="Cambria Math" w:eastAsia="仿宋_GB2312"/>
                      <w:sz w:val="24"/>
                      <w:szCs w:val="24"/>
                    </w:rPr>
                    <m:t>C</m:t>
                  </m:r>
                  <m:ctrlPr>
                    <w:rPr>
                      <w:rFonts w:ascii="Cambria Math" w:hAnsi="Cambria Math" w:eastAsia="仿宋_GB2312"/>
                      <w:i/>
                      <w:sz w:val="24"/>
                      <w:szCs w:val="24"/>
                    </w:rPr>
                  </m:ctrlPr>
                </m:e>
                <m:sub>
                  <m:r>
                    <w:rPr>
                      <w:rFonts w:ascii="Cambria Math" w:hAnsi="Cambria Math" w:eastAsia="仿宋_GB2312"/>
                      <w:sz w:val="24"/>
                      <w:szCs w:val="24"/>
                    </w:rPr>
                    <m:t>i</m:t>
                  </m:r>
                  <m:ctrlPr>
                    <w:rPr>
                      <w:rFonts w:ascii="Cambria Math" w:hAnsi="Cambria Math" w:eastAsia="仿宋_GB2312"/>
                      <w:i/>
                      <w:sz w:val="24"/>
                      <w:szCs w:val="24"/>
                    </w:rPr>
                  </m:ctrlPr>
                </m:sub>
              </m:sSub>
            </m:oMath>
            <w:r>
              <w:rPr>
                <w:rFonts w:ascii="Times New Roman" w:hAnsi="Times New Roman" w:eastAsia="仿宋_GB2312"/>
                <w:color w:val="000000"/>
                <w:sz w:val="24"/>
                <w:szCs w:val="24"/>
              </w:rPr>
              <w:t>——采用估算模型计算出的第i个污染物的最大1h地面空气质量浓度，μg/m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w:t>
            </w:r>
          </w:p>
          <w:p>
            <w:pPr>
              <w:spacing w:line="500" w:lineRule="exact"/>
              <w:ind w:firstLine="422" w:firstLineChars="176"/>
              <w:rPr>
                <w:rFonts w:ascii="Times New Roman" w:hAnsi="Times New Roman" w:eastAsia="仿宋_GB2312"/>
                <w:color w:val="000000"/>
                <w:sz w:val="24"/>
                <w:szCs w:val="24"/>
              </w:rPr>
            </w:pPr>
            <m:oMath>
              <m:sSub>
                <m:sSubPr>
                  <m:ctrlPr>
                    <w:rPr>
                      <w:rFonts w:ascii="Cambria Math" w:hAnsi="Cambria Math" w:eastAsia="仿宋_GB2312"/>
                      <w:i/>
                      <w:sz w:val="24"/>
                      <w:szCs w:val="24"/>
                    </w:rPr>
                  </m:ctrlPr>
                </m:sSubPr>
                <m:e>
                  <m:r>
                    <w:rPr>
                      <w:rFonts w:ascii="Cambria Math" w:hAnsi="Cambria Math" w:eastAsia="仿宋_GB2312"/>
                      <w:sz w:val="24"/>
                      <w:szCs w:val="24"/>
                    </w:rPr>
                    <m:t>C</m:t>
                  </m:r>
                  <m:ctrlPr>
                    <w:rPr>
                      <w:rFonts w:ascii="Cambria Math" w:hAnsi="Cambria Math" w:eastAsia="仿宋_GB2312"/>
                      <w:i/>
                      <w:sz w:val="24"/>
                      <w:szCs w:val="24"/>
                    </w:rPr>
                  </m:ctrlPr>
                </m:e>
                <m:sub>
                  <m:r>
                    <w:rPr>
                      <w:rFonts w:ascii="Cambria Math" w:hAnsi="Cambria Math" w:eastAsia="仿宋_GB2312"/>
                      <w:sz w:val="24"/>
                      <w:szCs w:val="24"/>
                    </w:rPr>
                    <m:t>0i</m:t>
                  </m:r>
                  <m:ctrlPr>
                    <w:rPr>
                      <w:rFonts w:ascii="Cambria Math" w:hAnsi="Cambria Math" w:eastAsia="仿宋_GB2312"/>
                      <w:i/>
                      <w:sz w:val="24"/>
                      <w:szCs w:val="24"/>
                    </w:rPr>
                  </m:ctrlPr>
                </m:sub>
              </m:sSub>
            </m:oMath>
            <w:r>
              <w:rPr>
                <w:rFonts w:ascii="Times New Roman" w:hAnsi="Times New Roman" w:eastAsia="仿宋_GB2312"/>
                <w:color w:val="000000"/>
                <w:sz w:val="24"/>
                <w:szCs w:val="24"/>
              </w:rPr>
              <w:t>——第i个污染物的环境空气质量浓度标准，μg/m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w:t>
            </w:r>
          </w:p>
          <w:p>
            <w:pPr>
              <w:spacing w:line="500" w:lineRule="exact"/>
              <w:ind w:firstLine="480" w:firstLineChars="200"/>
              <w:rPr>
                <w:rFonts w:ascii="Times New Roman" w:hAnsi="Times New Roman" w:eastAsia="仿宋_GB2312"/>
                <w:color w:val="000000"/>
                <w:sz w:val="24"/>
                <w:szCs w:val="20"/>
              </w:rPr>
            </w:pPr>
            <w:r>
              <w:rPr>
                <w:rFonts w:ascii="Times New Roman" w:hAnsi="Times New Roman" w:eastAsia="仿宋_GB2312"/>
                <w:color w:val="000000"/>
                <w:sz w:val="24"/>
                <w:szCs w:val="20"/>
              </w:rPr>
              <w:fldChar w:fldCharType="begin"/>
            </w:r>
            <w:r>
              <w:rPr>
                <w:rFonts w:ascii="Times New Roman" w:hAnsi="Times New Roman" w:eastAsia="仿宋_GB2312"/>
                <w:color w:val="000000"/>
                <w:sz w:val="24"/>
                <w:szCs w:val="20"/>
              </w:rPr>
              <w:instrText xml:space="preserve"> = 2 \* alphabetic </w:instrText>
            </w:r>
            <w:r>
              <w:rPr>
                <w:rFonts w:ascii="Times New Roman" w:hAnsi="Times New Roman" w:eastAsia="仿宋_GB2312"/>
                <w:color w:val="000000"/>
                <w:sz w:val="24"/>
                <w:szCs w:val="20"/>
              </w:rPr>
              <w:fldChar w:fldCharType="separate"/>
            </w:r>
            <w:r>
              <w:rPr>
                <w:rFonts w:ascii="Times New Roman" w:hAnsi="Times New Roman" w:eastAsia="仿宋_GB2312"/>
                <w:color w:val="000000"/>
                <w:sz w:val="24"/>
                <w:szCs w:val="20"/>
              </w:rPr>
              <w:t>b</w:t>
            </w:r>
            <w:r>
              <w:rPr>
                <w:rFonts w:ascii="Times New Roman" w:hAnsi="Times New Roman" w:eastAsia="仿宋_GB2312"/>
                <w:color w:val="000000"/>
                <w:sz w:val="24"/>
                <w:szCs w:val="20"/>
              </w:rPr>
              <w:fldChar w:fldCharType="end"/>
            </w:r>
            <w:r>
              <w:rPr>
                <w:rFonts w:ascii="Times New Roman" w:hAnsi="Times New Roman" w:eastAsia="仿宋_GB2312"/>
                <w:color w:val="000000"/>
                <w:sz w:val="24"/>
                <w:szCs w:val="20"/>
              </w:rPr>
              <w:t>、评价等级判别表</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0"/>
              </w:rPr>
              <w:t>评价等级按下表的分级</w:t>
            </w:r>
            <w:r>
              <w:rPr>
                <w:rFonts w:ascii="Times New Roman" w:hAnsi="Times New Roman" w:eastAsia="仿宋_GB2312"/>
                <w:color w:val="000000"/>
                <w:sz w:val="24"/>
                <w:szCs w:val="24"/>
              </w:rPr>
              <w:t>判据进行划分。</w:t>
            </w:r>
          </w:p>
          <w:p>
            <w:pPr>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表7-1 评价等级判别表</w:t>
            </w:r>
          </w:p>
          <w:tbl>
            <w:tblPr>
              <w:tblStyle w:val="38"/>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500"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评价工作等级</w:t>
                  </w:r>
                </w:p>
              </w:tc>
              <w:tc>
                <w:tcPr>
                  <w:tcW w:w="2500" w:type="pct"/>
                  <w:shd w:val="clear" w:color="auto" w:fill="auto"/>
                  <w:vAlign w:val="center"/>
                </w:tcPr>
                <w:p>
                  <w:pPr>
                    <w:adjustRightInd w:val="0"/>
                    <w:snapToGrid w:val="0"/>
                    <w:jc w:val="center"/>
                    <w:rPr>
                      <w:rFonts w:ascii="Times New Roman" w:hAnsi="Times New Roman" w:eastAsia="仿宋_GB2312"/>
                      <w:b/>
                      <w:color w:val="000000"/>
                      <w:szCs w:val="21"/>
                    </w:rPr>
                  </w:pPr>
                  <w:r>
                    <w:rPr>
                      <w:rFonts w:ascii="Times New Roman" w:hAnsi="Times New Roman" w:eastAsia="仿宋_GB2312"/>
                      <w:b/>
                      <w:color w:val="000000"/>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2500"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一级评价</w:t>
                  </w:r>
                </w:p>
              </w:tc>
              <w:tc>
                <w:tcPr>
                  <w:tcW w:w="2500"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P</w:t>
                  </w:r>
                  <w:r>
                    <w:rPr>
                      <w:rFonts w:ascii="Times New Roman" w:hAnsi="Times New Roman" w:eastAsia="仿宋_GB2312"/>
                      <w:color w:val="000000"/>
                      <w:szCs w:val="21"/>
                      <w:vertAlign w:val="subscript"/>
                    </w:rPr>
                    <w:t>max</w:t>
                  </w:r>
                  <w:r>
                    <w:rPr>
                      <w:rFonts w:hint="eastAsia" w:ascii="宋体" w:hAnsi="宋体" w:cs="宋体"/>
                      <w:color w:val="000000"/>
                      <w:szCs w:val="21"/>
                    </w:rPr>
                    <w:t>≧</w:t>
                  </w:r>
                  <w:r>
                    <w:rPr>
                      <w:rFonts w:ascii="Times New Roman" w:hAnsi="Times New Roman" w:eastAsia="仿宋_GB2312"/>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500"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二级评价</w:t>
                  </w:r>
                </w:p>
              </w:tc>
              <w:tc>
                <w:tcPr>
                  <w:tcW w:w="2500"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1%</w:t>
                  </w:r>
                  <w:r>
                    <w:rPr>
                      <w:rFonts w:hint="eastAsia" w:ascii="宋体" w:hAnsi="宋体" w:cs="宋体"/>
                      <w:color w:val="000000"/>
                      <w:szCs w:val="21"/>
                    </w:rPr>
                    <w:t>≦</w:t>
                  </w:r>
                  <w:r>
                    <w:rPr>
                      <w:rFonts w:ascii="Times New Roman" w:hAnsi="Times New Roman" w:eastAsia="仿宋_GB2312"/>
                      <w:color w:val="000000"/>
                      <w:szCs w:val="21"/>
                    </w:rPr>
                    <w:t>P</w:t>
                  </w:r>
                  <w:r>
                    <w:rPr>
                      <w:rFonts w:ascii="Times New Roman" w:hAnsi="Times New Roman" w:eastAsia="仿宋_GB2312"/>
                      <w:color w:val="000000"/>
                      <w:szCs w:val="21"/>
                      <w:vertAlign w:val="subscript"/>
                    </w:rPr>
                    <w:t>max</w:t>
                  </w:r>
                  <w:r>
                    <w:rPr>
                      <w:rFonts w:ascii="Times New Roman" w:hAnsi="Times New Roman" w:eastAsia="仿宋_GB2312"/>
                      <w:color w:val="000000"/>
                      <w:szCs w:val="21"/>
                    </w:rP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500" w:type="pct"/>
                  <w:tcBorders>
                    <w:top w:val="single" w:color="auto" w:sz="4" w:space="0"/>
                    <w:bottom w:val="single" w:color="auto" w:sz="12" w:space="0"/>
                  </w:tcBorders>
                  <w:shd w:val="clear" w:color="auto" w:fill="BFBFBF"/>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三级评价</w:t>
                  </w:r>
                </w:p>
              </w:tc>
              <w:tc>
                <w:tcPr>
                  <w:tcW w:w="2500" w:type="pct"/>
                  <w:tcBorders>
                    <w:top w:val="single" w:color="auto" w:sz="4" w:space="0"/>
                    <w:bottom w:val="single" w:color="auto" w:sz="12" w:space="0"/>
                  </w:tcBorders>
                  <w:shd w:val="clear" w:color="auto" w:fill="BFBFBF"/>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P</w:t>
                  </w:r>
                  <w:r>
                    <w:rPr>
                      <w:rFonts w:ascii="Times New Roman" w:hAnsi="Times New Roman" w:eastAsia="仿宋_GB2312"/>
                      <w:color w:val="000000"/>
                      <w:szCs w:val="21"/>
                      <w:vertAlign w:val="subscript"/>
                    </w:rPr>
                    <w:t>max</w:t>
                  </w:r>
                  <w:r>
                    <w:rPr>
                      <w:rFonts w:ascii="Times New Roman" w:hAnsi="Times New Roman" w:eastAsia="仿宋_GB2312"/>
                      <w:color w:val="000000"/>
                      <w:szCs w:val="21"/>
                    </w:rPr>
                    <w:t>&lt;1%</w:t>
                  </w:r>
                </w:p>
              </w:tc>
            </w:tr>
          </w:tbl>
          <w:p>
            <w:pPr>
              <w:rPr>
                <w:rFonts w:ascii="Times New Roman" w:hAnsi="Times New Roman" w:eastAsia="仿宋_GB2312"/>
                <w:color w:val="000000"/>
              </w:rPr>
            </w:pPr>
          </w:p>
        </w:tc>
      </w:tr>
    </w:tbl>
    <w:p>
      <w:pPr>
        <w:adjustRightInd w:val="0"/>
        <w:snapToGrid w:val="0"/>
        <w:spacing w:before="120" w:beforeLines="50" w:line="480" w:lineRule="exact"/>
        <w:outlineLvl w:val="0"/>
        <w:rPr>
          <w:rFonts w:ascii="Times New Roman" w:hAnsi="Times New Roman" w:eastAsia="仿宋_GB2312"/>
          <w:b/>
          <w:color w:val="000000"/>
          <w:sz w:val="24"/>
          <w:szCs w:val="24"/>
        </w:rPr>
        <w:sectPr>
          <w:pgSz w:w="11907" w:h="16840"/>
          <w:pgMar w:top="1440" w:right="1797" w:bottom="1440" w:left="1797" w:header="851" w:footer="992" w:gutter="0"/>
          <w:cols w:space="720" w:num="1"/>
          <w:titlePg/>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6" w:type="dxa"/>
            <w:shd w:val="clear" w:color="auto" w:fill="auto"/>
          </w:tcPr>
          <w:p>
            <w:pPr>
              <w:pStyle w:val="82"/>
              <w:spacing w:line="480" w:lineRule="exact"/>
              <w:rPr>
                <w:rFonts w:eastAsia="仿宋_GB2312"/>
                <w:szCs w:val="24"/>
              </w:rPr>
            </w:pPr>
            <w:r>
              <w:rPr>
                <w:rFonts w:eastAsia="仿宋_GB2312"/>
                <w:szCs w:val="24"/>
              </w:rPr>
              <w:fldChar w:fldCharType="begin"/>
            </w:r>
            <w:r>
              <w:rPr>
                <w:rFonts w:eastAsia="仿宋_GB2312"/>
                <w:szCs w:val="24"/>
              </w:rPr>
              <w:instrText xml:space="preserve"> = 2 \* GB3 </w:instrText>
            </w:r>
            <w:r>
              <w:rPr>
                <w:rFonts w:eastAsia="仿宋_GB2312"/>
                <w:szCs w:val="24"/>
              </w:rPr>
              <w:fldChar w:fldCharType="separate"/>
            </w:r>
            <w:r>
              <w:rPr>
                <w:rFonts w:hint="eastAsia" w:ascii="宋体" w:hAnsi="宋体" w:cs="宋体"/>
                <w:szCs w:val="24"/>
              </w:rPr>
              <w:t>②</w:t>
            </w:r>
            <w:r>
              <w:rPr>
                <w:rFonts w:eastAsia="仿宋_GB2312"/>
                <w:szCs w:val="24"/>
              </w:rPr>
              <w:fldChar w:fldCharType="end"/>
            </w:r>
            <w:r>
              <w:rPr>
                <w:rFonts w:eastAsia="仿宋_GB2312"/>
                <w:szCs w:val="24"/>
              </w:rPr>
              <w:t xml:space="preserve"> 污染源参数</w:t>
            </w:r>
          </w:p>
          <w:p>
            <w:pPr>
              <w:spacing w:line="480" w:lineRule="exact"/>
              <w:jc w:val="center"/>
              <w:rPr>
                <w:rFonts w:ascii="Times New Roman" w:hAnsi="Times New Roman" w:eastAsia="仿宋_GB2312"/>
                <w:b/>
                <w:bCs/>
                <w:color w:val="000000"/>
              </w:rPr>
            </w:pPr>
            <w:r>
              <w:rPr>
                <w:rFonts w:ascii="Times New Roman" w:hAnsi="Times New Roman" w:eastAsia="仿宋_GB2312"/>
                <w:b/>
                <w:bCs/>
                <w:color w:val="000000"/>
                <w:sz w:val="24"/>
              </w:rPr>
              <w:t>表7-2 主要废气污染源参数一览表（点源）</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285"/>
              <w:gridCol w:w="1166"/>
              <w:gridCol w:w="770"/>
              <w:gridCol w:w="770"/>
              <w:gridCol w:w="661"/>
              <w:gridCol w:w="770"/>
              <w:gridCol w:w="753"/>
              <w:gridCol w:w="1571"/>
              <w:gridCol w:w="904"/>
              <w:gridCol w:w="934"/>
              <w:gridCol w:w="1021"/>
              <w:gridCol w:w="899"/>
              <w:gridCol w:w="1021"/>
              <w:gridCol w:w="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 w:hRule="atLeast"/>
                <w:jc w:val="center"/>
              </w:trPr>
              <w:tc>
                <w:tcPr>
                  <w:tcW w:w="215" w:type="pct"/>
                  <w:vMerge w:val="restar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污染源名称</w:t>
                  </w:r>
                </w:p>
              </w:tc>
              <w:tc>
                <w:tcPr>
                  <w:tcW w:w="879" w:type="pct"/>
                  <w:gridSpan w:val="2"/>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排气筒底部中心坐标(°)</w:t>
                  </w:r>
                </w:p>
              </w:tc>
              <w:tc>
                <w:tcPr>
                  <w:tcW w:w="276" w:type="pct"/>
                  <w:vMerge w:val="restar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排气筒底部海拔高度(m)</w:t>
                  </w:r>
                </w:p>
              </w:tc>
              <w:tc>
                <w:tcPr>
                  <w:tcW w:w="1059" w:type="pct"/>
                  <w:gridSpan w:val="4"/>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排气筒参数</w:t>
                  </w:r>
                </w:p>
              </w:tc>
              <w:tc>
                <w:tcPr>
                  <w:tcW w:w="563" w:type="pct"/>
                  <w:vMerge w:val="restar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年排放小时数</w:t>
                  </w:r>
                </w:p>
              </w:tc>
              <w:tc>
                <w:tcPr>
                  <w:tcW w:w="324" w:type="pct"/>
                  <w:vMerge w:val="restar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工况</w:t>
                  </w:r>
                </w:p>
              </w:tc>
              <w:tc>
                <w:tcPr>
                  <w:tcW w:w="1684" w:type="pct"/>
                  <w:gridSpan w:val="5"/>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 w:hRule="atLeast"/>
                <w:jc w:val="center"/>
              </w:trPr>
              <w:tc>
                <w:tcPr>
                  <w:tcW w:w="215" w:type="pct"/>
                  <w:vMerge w:val="continue"/>
                  <w:shd w:val="clear" w:color="auto" w:fill="auto"/>
                  <w:vAlign w:val="center"/>
                </w:tcPr>
                <w:p>
                  <w:pPr>
                    <w:widowControl/>
                    <w:jc w:val="center"/>
                    <w:rPr>
                      <w:rFonts w:ascii="Times New Roman" w:hAnsi="Times New Roman" w:eastAsia="仿宋_GB2312"/>
                      <w:b/>
                      <w:bCs/>
                      <w:color w:val="000000"/>
                      <w:szCs w:val="21"/>
                    </w:rPr>
                  </w:pPr>
                </w:p>
              </w:tc>
              <w:tc>
                <w:tcPr>
                  <w:tcW w:w="461"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经度</w:t>
                  </w:r>
                </w:p>
              </w:tc>
              <w:tc>
                <w:tcPr>
                  <w:tcW w:w="418"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纬度</w:t>
                  </w:r>
                </w:p>
              </w:tc>
              <w:tc>
                <w:tcPr>
                  <w:tcW w:w="276" w:type="pct"/>
                  <w:vMerge w:val="continue"/>
                  <w:shd w:val="clear" w:color="auto" w:fill="auto"/>
                  <w:vAlign w:val="center"/>
                </w:tcPr>
                <w:p>
                  <w:pPr>
                    <w:widowControl/>
                    <w:jc w:val="center"/>
                    <w:rPr>
                      <w:rFonts w:ascii="Times New Roman" w:hAnsi="Times New Roman" w:eastAsia="仿宋_GB2312"/>
                      <w:b/>
                      <w:bCs/>
                      <w:color w:val="000000"/>
                      <w:szCs w:val="21"/>
                    </w:rPr>
                  </w:pPr>
                </w:p>
              </w:tc>
              <w:tc>
                <w:tcPr>
                  <w:tcW w:w="276"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高度(m)</w:t>
                  </w:r>
                </w:p>
              </w:tc>
              <w:tc>
                <w:tcPr>
                  <w:tcW w:w="237"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内径(m)</w:t>
                  </w:r>
                </w:p>
              </w:tc>
              <w:tc>
                <w:tcPr>
                  <w:tcW w:w="276"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温度(℃)</w:t>
                  </w:r>
                </w:p>
              </w:tc>
              <w:tc>
                <w:tcPr>
                  <w:tcW w:w="269"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流速(m/s)</w:t>
                  </w:r>
                </w:p>
              </w:tc>
              <w:tc>
                <w:tcPr>
                  <w:tcW w:w="563" w:type="pct"/>
                  <w:vMerge w:val="continue"/>
                </w:tcPr>
                <w:p>
                  <w:pPr>
                    <w:jc w:val="center"/>
                    <w:rPr>
                      <w:rFonts w:ascii="Times New Roman" w:hAnsi="Times New Roman" w:eastAsia="仿宋_GB2312"/>
                      <w:b/>
                      <w:bCs/>
                      <w:color w:val="000000"/>
                      <w:szCs w:val="21"/>
                    </w:rPr>
                  </w:pPr>
                </w:p>
              </w:tc>
              <w:tc>
                <w:tcPr>
                  <w:tcW w:w="324" w:type="pct"/>
                  <w:vMerge w:val="continue"/>
                </w:tcPr>
                <w:p>
                  <w:pPr>
                    <w:jc w:val="center"/>
                    <w:rPr>
                      <w:rFonts w:ascii="Times New Roman" w:hAnsi="Times New Roman" w:eastAsia="仿宋_GB2312"/>
                      <w:b/>
                      <w:bCs/>
                      <w:color w:val="000000"/>
                      <w:szCs w:val="21"/>
                    </w:rPr>
                  </w:pPr>
                </w:p>
              </w:tc>
              <w:tc>
                <w:tcPr>
                  <w:tcW w:w="335" w:type="pct"/>
                  <w:shd w:val="clear" w:color="auto" w:fill="auto"/>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VOC</w:t>
                  </w:r>
                  <w:r>
                    <w:rPr>
                      <w:rFonts w:hint="eastAsia" w:ascii="Times New Roman" w:hAnsi="Times New Roman" w:eastAsia="仿宋_GB2312"/>
                      <w:b/>
                      <w:bCs/>
                      <w:color w:val="000000"/>
                      <w:szCs w:val="21"/>
                    </w:rPr>
                    <w:t>s</w:t>
                  </w:r>
                </w:p>
              </w:tc>
              <w:tc>
                <w:tcPr>
                  <w:tcW w:w="366"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氯化氢</w:t>
                  </w:r>
                </w:p>
              </w:tc>
              <w:tc>
                <w:tcPr>
                  <w:tcW w:w="317" w:type="pct"/>
                  <w:vAlign w:val="center"/>
                </w:tcPr>
                <w:p>
                  <w:pPr>
                    <w:jc w:val="center"/>
                    <w:rPr>
                      <w:rFonts w:ascii="Times New Roman" w:hAnsi="Times New Roman" w:eastAsia="仿宋_GB2312"/>
                      <w:b/>
                      <w:bCs/>
                      <w:color w:val="000000"/>
                      <w:szCs w:val="21"/>
                    </w:rPr>
                  </w:pPr>
                  <w:r>
                    <w:rPr>
                      <w:rFonts w:hint="eastAsia" w:ascii="Times New Roman" w:hAnsi="Times New Roman" w:eastAsia="仿宋_GB2312"/>
                      <w:b/>
                      <w:bCs/>
                      <w:color w:val="000000"/>
                      <w:szCs w:val="21"/>
                    </w:rPr>
                    <w:t>氮氧化物</w:t>
                  </w:r>
                </w:p>
              </w:tc>
              <w:tc>
                <w:tcPr>
                  <w:tcW w:w="366"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硫酸雾</w:t>
                  </w:r>
                </w:p>
              </w:tc>
              <w:tc>
                <w:tcPr>
                  <w:tcW w:w="300"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1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w:t>
                  </w:r>
                  <w:r>
                    <w:rPr>
                      <w:rFonts w:hint="eastAsia" w:ascii="Times New Roman" w:hAnsi="Times New Roman" w:eastAsia="仿宋_GB2312"/>
                      <w:color w:val="000000"/>
                      <w:szCs w:val="21"/>
                    </w:rPr>
                    <w:t>#</w:t>
                  </w:r>
                </w:p>
              </w:tc>
              <w:tc>
                <w:tcPr>
                  <w:tcW w:w="46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118.745644</w:t>
                  </w:r>
                </w:p>
              </w:tc>
              <w:tc>
                <w:tcPr>
                  <w:tcW w:w="418"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32.042914</w:t>
                  </w:r>
                </w:p>
              </w:tc>
              <w:tc>
                <w:tcPr>
                  <w:tcW w:w="276"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8.00</w:t>
                  </w:r>
                </w:p>
              </w:tc>
              <w:tc>
                <w:tcPr>
                  <w:tcW w:w="276"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25.00</w:t>
                  </w:r>
                </w:p>
              </w:tc>
              <w:tc>
                <w:tcPr>
                  <w:tcW w:w="23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0.70</w:t>
                  </w:r>
                </w:p>
              </w:tc>
              <w:tc>
                <w:tcPr>
                  <w:tcW w:w="276"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25.00</w:t>
                  </w:r>
                </w:p>
              </w:tc>
              <w:tc>
                <w:tcPr>
                  <w:tcW w:w="26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7.8</w:t>
                  </w:r>
                </w:p>
              </w:tc>
              <w:tc>
                <w:tcPr>
                  <w:tcW w:w="563" w:type="pct"/>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2000</w:t>
                  </w:r>
                </w:p>
              </w:tc>
              <w:tc>
                <w:tcPr>
                  <w:tcW w:w="324" w:type="pct"/>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间断</w:t>
                  </w:r>
                </w:p>
              </w:tc>
              <w:tc>
                <w:tcPr>
                  <w:tcW w:w="335" w:type="pct"/>
                  <w:shd w:val="clear" w:color="auto" w:fill="auto"/>
                  <w:vAlign w:val="center"/>
                </w:tcPr>
                <w:p>
                  <w:pPr>
                    <w:widowControl/>
                    <w:jc w:val="center"/>
                    <w:rPr>
                      <w:rFonts w:ascii="Times New Roman" w:hAnsi="Times New Roman" w:eastAsia="仿宋_GB2312"/>
                      <w:color w:val="000000"/>
                      <w:szCs w:val="21"/>
                    </w:rPr>
                  </w:pPr>
                  <w:r>
                    <w:rPr>
                      <w:rFonts w:ascii="Times New Roman" w:hAnsi="Times New Roman" w:eastAsia="仿宋_GB2312"/>
                      <w:color w:val="000000"/>
                      <w:szCs w:val="21"/>
                    </w:rPr>
                    <w:t>0.0128</w:t>
                  </w:r>
                </w:p>
              </w:tc>
              <w:tc>
                <w:tcPr>
                  <w:tcW w:w="366" w:type="pct"/>
                  <w:vAlign w:val="center"/>
                </w:tcPr>
                <w:p>
                  <w:pPr>
                    <w:pStyle w:val="253"/>
                    <w:rPr>
                      <w:rFonts w:eastAsia="仿宋_GB2312"/>
                      <w:color w:val="000000"/>
                    </w:rPr>
                  </w:pPr>
                  <w:r>
                    <w:rPr>
                      <w:rFonts w:eastAsia="仿宋_GB2312"/>
                      <w:color w:val="000000"/>
                    </w:rPr>
                    <w:t>0.0004</w:t>
                  </w:r>
                </w:p>
              </w:tc>
              <w:tc>
                <w:tcPr>
                  <w:tcW w:w="317" w:type="pct"/>
                  <w:vAlign w:val="center"/>
                </w:tcPr>
                <w:p>
                  <w:pPr>
                    <w:pStyle w:val="253"/>
                    <w:rPr>
                      <w:rFonts w:eastAsia="仿宋_GB2312"/>
                      <w:color w:val="000000"/>
                    </w:rPr>
                  </w:pPr>
                  <w:r>
                    <w:rPr>
                      <w:rFonts w:eastAsia="仿宋_GB2312"/>
                      <w:color w:val="000000"/>
                    </w:rPr>
                    <w:t>0.00014</w:t>
                  </w:r>
                </w:p>
              </w:tc>
              <w:tc>
                <w:tcPr>
                  <w:tcW w:w="366" w:type="pct"/>
                  <w:vAlign w:val="center"/>
                </w:tcPr>
                <w:p>
                  <w:pPr>
                    <w:pStyle w:val="253"/>
                    <w:rPr>
                      <w:rFonts w:eastAsia="仿宋_GB2312"/>
                      <w:color w:val="000000"/>
                    </w:rPr>
                  </w:pPr>
                  <w:r>
                    <w:rPr>
                      <w:rFonts w:eastAsia="仿宋_GB2312"/>
                      <w:color w:val="000000"/>
                    </w:rPr>
                    <w:t>0.0005</w:t>
                  </w:r>
                </w:p>
              </w:tc>
              <w:tc>
                <w:tcPr>
                  <w:tcW w:w="300" w:type="pct"/>
                  <w:vAlign w:val="center"/>
                </w:tcPr>
                <w:p>
                  <w:pPr>
                    <w:pStyle w:val="253"/>
                    <w:rPr>
                      <w:rFonts w:eastAsia="仿宋_GB2312"/>
                      <w:color w:val="000000"/>
                    </w:rPr>
                  </w:pPr>
                  <w:r>
                    <w:rPr>
                      <w:rFonts w:eastAsia="仿宋_GB2312"/>
                      <w:color w:val="000000"/>
                    </w:rPr>
                    <w:t>0.0001</w:t>
                  </w:r>
                </w:p>
              </w:tc>
            </w:tr>
          </w:tbl>
          <w:p>
            <w:pPr>
              <w:pStyle w:val="244"/>
              <w:rPr>
                <w:rFonts w:eastAsia="仿宋_GB2312"/>
                <w:color w:val="000000"/>
              </w:rPr>
            </w:pPr>
          </w:p>
          <w:p>
            <w:pPr>
              <w:spacing w:line="48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表7-3 主要废气污染源参数一览表（矩形面源）</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206"/>
              <w:gridCol w:w="1109"/>
              <w:gridCol w:w="610"/>
              <w:gridCol w:w="713"/>
              <w:gridCol w:w="696"/>
              <w:gridCol w:w="610"/>
              <w:gridCol w:w="1143"/>
              <w:gridCol w:w="1542"/>
              <w:gridCol w:w="1084"/>
              <w:gridCol w:w="914"/>
              <w:gridCol w:w="911"/>
              <w:gridCol w:w="1004"/>
              <w:gridCol w:w="911"/>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85" w:type="pct"/>
                  <w:vMerge w:val="restar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污染源名称</w:t>
                  </w:r>
                </w:p>
              </w:tc>
              <w:tc>
                <w:tcPr>
                  <w:tcW w:w="830" w:type="pct"/>
                  <w:gridSpan w:val="2"/>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坐标(°)</w:t>
                  </w:r>
                </w:p>
              </w:tc>
              <w:tc>
                <w:tcPr>
                  <w:tcW w:w="227" w:type="pct"/>
                  <w:vMerge w:val="restar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海拔高度(m)</w:t>
                  </w:r>
                </w:p>
              </w:tc>
              <w:tc>
                <w:tcPr>
                  <w:tcW w:w="1151" w:type="pct"/>
                  <w:gridSpan w:val="4"/>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矩形面源</w:t>
                  </w:r>
                </w:p>
              </w:tc>
              <w:tc>
                <w:tcPr>
                  <w:tcW w:w="557" w:type="pct"/>
                  <w:vMerge w:val="restart"/>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年排放小时数</w:t>
                  </w:r>
                </w:p>
              </w:tc>
              <w:tc>
                <w:tcPr>
                  <w:tcW w:w="393" w:type="pct"/>
                  <w:vMerge w:val="restart"/>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工况</w:t>
                  </w:r>
                </w:p>
              </w:tc>
              <w:tc>
                <w:tcPr>
                  <w:tcW w:w="1658" w:type="pct"/>
                  <w:gridSpan w:val="5"/>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85" w:type="pct"/>
                  <w:vMerge w:val="continue"/>
                  <w:shd w:val="clear" w:color="auto" w:fill="auto"/>
                  <w:vAlign w:val="center"/>
                </w:tcPr>
                <w:p>
                  <w:pPr>
                    <w:widowControl/>
                    <w:jc w:val="left"/>
                    <w:rPr>
                      <w:rFonts w:ascii="Times New Roman" w:hAnsi="Times New Roman" w:eastAsia="仿宋_GB2312"/>
                      <w:b/>
                      <w:color w:val="000000"/>
                      <w:szCs w:val="21"/>
                    </w:rPr>
                  </w:pPr>
                </w:p>
              </w:tc>
              <w:tc>
                <w:tcPr>
                  <w:tcW w:w="432"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经度</w:t>
                  </w:r>
                </w:p>
              </w:tc>
              <w:tc>
                <w:tcPr>
                  <w:tcW w:w="397"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纬度</w:t>
                  </w:r>
                </w:p>
              </w:tc>
              <w:tc>
                <w:tcPr>
                  <w:tcW w:w="227" w:type="pct"/>
                  <w:vMerge w:val="continue"/>
                  <w:shd w:val="clear" w:color="auto" w:fill="auto"/>
                  <w:vAlign w:val="center"/>
                </w:tcPr>
                <w:p>
                  <w:pPr>
                    <w:widowControl/>
                    <w:jc w:val="left"/>
                    <w:rPr>
                      <w:rFonts w:ascii="Times New Roman" w:hAnsi="Times New Roman" w:eastAsia="仿宋_GB2312"/>
                      <w:b/>
                      <w:color w:val="000000"/>
                      <w:szCs w:val="21"/>
                    </w:rPr>
                  </w:pPr>
                </w:p>
              </w:tc>
              <w:tc>
                <w:tcPr>
                  <w:tcW w:w="260"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长度(m)</w:t>
                  </w:r>
                </w:p>
              </w:tc>
              <w:tc>
                <w:tcPr>
                  <w:tcW w:w="254"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宽度(m)</w:t>
                  </w:r>
                </w:p>
              </w:tc>
              <w:tc>
                <w:tcPr>
                  <w:tcW w:w="223"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有效高度(m)</w:t>
                  </w:r>
                </w:p>
              </w:tc>
              <w:tc>
                <w:tcPr>
                  <w:tcW w:w="414" w:type="pct"/>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与正北向夹角/</w:t>
                  </w:r>
                  <w:r>
                    <w:rPr>
                      <w:rFonts w:ascii="Times New Roman" w:hAnsi="Times New Roman" w:eastAsia="仿宋_GB2312"/>
                      <w:kern w:val="0"/>
                      <w:sz w:val="18"/>
                      <w:szCs w:val="18"/>
                    </w:rPr>
                    <w:t>°</w:t>
                  </w:r>
                </w:p>
              </w:tc>
              <w:tc>
                <w:tcPr>
                  <w:tcW w:w="557" w:type="pct"/>
                  <w:vMerge w:val="continue"/>
                  <w:vAlign w:val="center"/>
                </w:tcPr>
                <w:p>
                  <w:pPr>
                    <w:jc w:val="center"/>
                    <w:rPr>
                      <w:rFonts w:ascii="Times New Roman" w:hAnsi="Times New Roman" w:eastAsia="仿宋_GB2312"/>
                      <w:b/>
                      <w:color w:val="000000"/>
                      <w:szCs w:val="21"/>
                    </w:rPr>
                  </w:pPr>
                </w:p>
              </w:tc>
              <w:tc>
                <w:tcPr>
                  <w:tcW w:w="393" w:type="pct"/>
                  <w:vMerge w:val="continue"/>
                  <w:vAlign w:val="center"/>
                </w:tcPr>
                <w:p>
                  <w:pPr>
                    <w:jc w:val="center"/>
                    <w:rPr>
                      <w:rFonts w:ascii="Times New Roman" w:hAnsi="Times New Roman" w:eastAsia="仿宋_GB2312"/>
                      <w:b/>
                      <w:color w:val="000000"/>
                      <w:szCs w:val="21"/>
                    </w:rPr>
                  </w:pPr>
                </w:p>
              </w:tc>
              <w:tc>
                <w:tcPr>
                  <w:tcW w:w="332"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VOC</w:t>
                  </w:r>
                  <w:r>
                    <w:rPr>
                      <w:rFonts w:hint="eastAsia" w:ascii="Times New Roman" w:hAnsi="Times New Roman" w:eastAsia="仿宋_GB2312"/>
                      <w:b/>
                      <w:color w:val="000000"/>
                      <w:szCs w:val="21"/>
                    </w:rPr>
                    <w:t>s</w:t>
                  </w:r>
                </w:p>
              </w:tc>
              <w:tc>
                <w:tcPr>
                  <w:tcW w:w="331"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氯化氢</w:t>
                  </w:r>
                </w:p>
              </w:tc>
              <w:tc>
                <w:tcPr>
                  <w:tcW w:w="331" w:type="pct"/>
                  <w:vAlign w:val="center"/>
                </w:tcPr>
                <w:p>
                  <w:pPr>
                    <w:jc w:val="center"/>
                    <w:rPr>
                      <w:rFonts w:ascii="Times New Roman" w:hAnsi="Times New Roman" w:eastAsia="仿宋_GB2312"/>
                      <w:b/>
                      <w:bCs/>
                      <w:color w:val="000000"/>
                      <w:szCs w:val="21"/>
                    </w:rPr>
                  </w:pPr>
                  <w:r>
                    <w:rPr>
                      <w:rFonts w:hint="eastAsia" w:ascii="Times New Roman" w:hAnsi="Times New Roman" w:eastAsia="仿宋_GB2312"/>
                      <w:b/>
                      <w:bCs/>
                      <w:color w:val="000000"/>
                      <w:szCs w:val="21"/>
                    </w:rPr>
                    <w:t>氮氧化物</w:t>
                  </w:r>
                </w:p>
              </w:tc>
              <w:tc>
                <w:tcPr>
                  <w:tcW w:w="331"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硫酸雾</w:t>
                  </w:r>
                </w:p>
              </w:tc>
              <w:tc>
                <w:tcPr>
                  <w:tcW w:w="331" w:type="pct"/>
                  <w:vAlign w:val="center"/>
                </w:tcPr>
                <w:p>
                  <w:pPr>
                    <w:jc w:val="center"/>
                    <w:rPr>
                      <w:rFonts w:ascii="Times New Roman" w:hAnsi="Times New Roman" w:eastAsia="仿宋_GB2312"/>
                      <w:b/>
                      <w:bCs/>
                      <w:color w:val="000000"/>
                      <w:szCs w:val="21"/>
                    </w:rPr>
                  </w:pPr>
                  <w:r>
                    <w:rPr>
                      <w:rFonts w:ascii="Times New Roman" w:hAnsi="Times New Roman" w:eastAsia="仿宋_GB2312"/>
                      <w:b/>
                      <w:bCs/>
                      <w:color w:val="000000"/>
                      <w:szCs w:val="21"/>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实验室</w:t>
                  </w:r>
                </w:p>
              </w:tc>
              <w:tc>
                <w:tcPr>
                  <w:tcW w:w="432"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118.745442</w:t>
                  </w:r>
                </w:p>
              </w:tc>
              <w:tc>
                <w:tcPr>
                  <w:tcW w:w="39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32.042949</w:t>
                  </w:r>
                </w:p>
              </w:tc>
              <w:tc>
                <w:tcPr>
                  <w:tcW w:w="22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8.00</w:t>
                  </w:r>
                </w:p>
              </w:tc>
              <w:tc>
                <w:tcPr>
                  <w:tcW w:w="26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58.00</w:t>
                  </w:r>
                </w:p>
              </w:tc>
              <w:tc>
                <w:tcPr>
                  <w:tcW w:w="254"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15.00</w:t>
                  </w:r>
                </w:p>
              </w:tc>
              <w:tc>
                <w:tcPr>
                  <w:tcW w:w="223"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12</w:t>
                  </w:r>
                </w:p>
              </w:tc>
              <w:tc>
                <w:tcPr>
                  <w:tcW w:w="414"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76.66</w:t>
                  </w:r>
                </w:p>
              </w:tc>
              <w:tc>
                <w:tcPr>
                  <w:tcW w:w="557"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2000</w:t>
                  </w:r>
                </w:p>
              </w:tc>
              <w:tc>
                <w:tcPr>
                  <w:tcW w:w="393"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间断</w:t>
                  </w:r>
                </w:p>
              </w:tc>
              <w:tc>
                <w:tcPr>
                  <w:tcW w:w="332"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.00875</w:t>
                  </w:r>
                </w:p>
              </w:tc>
              <w:tc>
                <w:tcPr>
                  <w:tcW w:w="331"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w:t>
                  </w:r>
                </w:p>
              </w:tc>
              <w:tc>
                <w:tcPr>
                  <w:tcW w:w="331"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.000034</w:t>
                  </w:r>
                </w:p>
              </w:tc>
              <w:tc>
                <w:tcPr>
                  <w:tcW w:w="331"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0001</w:t>
                  </w:r>
                </w:p>
              </w:tc>
              <w:tc>
                <w:tcPr>
                  <w:tcW w:w="331" w:type="pct"/>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.000024</w:t>
                  </w:r>
                </w:p>
              </w:tc>
            </w:tr>
          </w:tbl>
          <w:p>
            <w:pPr>
              <w:pStyle w:val="2"/>
              <w:rPr>
                <w:rFonts w:ascii="Times New Roman" w:hAnsi="Times New Roman" w:eastAsia="仿宋_GB2312"/>
                <w:color w:val="000000"/>
              </w:rPr>
            </w:pPr>
          </w:p>
          <w:p>
            <w:pPr>
              <w:rPr>
                <w:rFonts w:ascii="Times New Roman" w:hAnsi="Times New Roman" w:eastAsia="仿宋_GB2312"/>
                <w:color w:val="000000"/>
              </w:rPr>
            </w:pPr>
          </w:p>
        </w:tc>
      </w:tr>
    </w:tbl>
    <w:p>
      <w:pPr>
        <w:pStyle w:val="82"/>
        <w:spacing w:line="480" w:lineRule="exact"/>
        <w:rPr>
          <w:rFonts w:eastAsia="仿宋_GB2312"/>
          <w:szCs w:val="24"/>
        </w:rPr>
        <w:sectPr>
          <w:pgSz w:w="16840" w:h="11907" w:orient="landscape"/>
          <w:pgMar w:top="1797" w:right="1440" w:bottom="1797" w:left="1440" w:header="851" w:footer="992" w:gutter="0"/>
          <w:cols w:space="720" w:num="1"/>
          <w:titlePg/>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0" w:hRule="atLeast"/>
        </w:trPr>
        <w:tc>
          <w:tcPr>
            <w:tcW w:w="8729" w:type="dxa"/>
          </w:tcPr>
          <w:p>
            <w:pPr>
              <w:pStyle w:val="82"/>
              <w:spacing w:line="480" w:lineRule="exact"/>
              <w:rPr>
                <w:rFonts w:eastAsia="仿宋_GB2312"/>
                <w:szCs w:val="24"/>
              </w:rPr>
            </w:pPr>
            <w:r>
              <w:rPr>
                <w:rFonts w:eastAsia="仿宋_GB2312"/>
                <w:szCs w:val="24"/>
              </w:rPr>
              <w:fldChar w:fldCharType="begin"/>
            </w:r>
            <w:r>
              <w:rPr>
                <w:rFonts w:eastAsia="仿宋_GB2312"/>
                <w:szCs w:val="24"/>
              </w:rPr>
              <w:instrText xml:space="preserve"> = 3 \* GB3 </w:instrText>
            </w:r>
            <w:r>
              <w:rPr>
                <w:rFonts w:eastAsia="仿宋_GB2312"/>
                <w:szCs w:val="24"/>
              </w:rPr>
              <w:fldChar w:fldCharType="separate"/>
            </w:r>
            <w:r>
              <w:rPr>
                <w:rFonts w:hint="eastAsia" w:ascii="宋体" w:hAnsi="宋体" w:cs="宋体"/>
                <w:szCs w:val="24"/>
              </w:rPr>
              <w:t>③</w:t>
            </w:r>
            <w:r>
              <w:rPr>
                <w:rFonts w:eastAsia="仿宋_GB2312"/>
                <w:szCs w:val="24"/>
              </w:rPr>
              <w:fldChar w:fldCharType="end"/>
            </w:r>
            <w:r>
              <w:rPr>
                <w:rFonts w:eastAsia="仿宋_GB2312"/>
                <w:szCs w:val="24"/>
              </w:rPr>
              <w:t xml:space="preserve"> 项目参数</w:t>
            </w:r>
          </w:p>
          <w:p>
            <w:pPr>
              <w:spacing w:line="480" w:lineRule="exact"/>
              <w:ind w:firstLine="480" w:firstLineChars="200"/>
              <w:rPr>
                <w:rFonts w:ascii="Times New Roman" w:hAnsi="Times New Roman" w:eastAsia="仿宋_GB2312"/>
                <w:color w:val="000000"/>
              </w:rPr>
            </w:pPr>
            <w:r>
              <w:rPr>
                <w:rFonts w:ascii="Times New Roman" w:hAnsi="Times New Roman" w:eastAsia="仿宋_GB2312"/>
                <w:color w:val="000000"/>
                <w:sz w:val="24"/>
              </w:rPr>
              <w:t>估算模式所用参数见表7-4。</w:t>
            </w:r>
          </w:p>
          <w:p>
            <w:pPr>
              <w:spacing w:line="480" w:lineRule="exact"/>
              <w:jc w:val="center"/>
              <w:rPr>
                <w:rFonts w:ascii="Times New Roman" w:hAnsi="Times New Roman" w:eastAsia="仿宋_GB2312"/>
                <w:b/>
                <w:bCs/>
                <w:color w:val="000000"/>
              </w:rPr>
            </w:pPr>
            <w:r>
              <w:rPr>
                <w:rFonts w:ascii="Times New Roman" w:hAnsi="Times New Roman" w:eastAsia="仿宋_GB2312"/>
                <w:b/>
                <w:bCs/>
                <w:color w:val="000000"/>
                <w:sz w:val="24"/>
              </w:rPr>
              <w:t>表7-4 估算模型参数表</w:t>
            </w:r>
          </w:p>
          <w:tbl>
            <w:tblPr>
              <w:tblStyle w:val="38"/>
              <w:tblW w:w="73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2926"/>
              <w:gridCol w:w="2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41" w:type="pct"/>
                  <w:gridSpan w:val="2"/>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参数</w:t>
                  </w:r>
                </w:p>
              </w:tc>
              <w:tc>
                <w:tcPr>
                  <w:tcW w:w="1959" w:type="pct"/>
                  <w:shd w:val="clear" w:color="auto" w:fill="auto"/>
                  <w:vAlign w:val="center"/>
                </w:tcPr>
                <w:p>
                  <w:pPr>
                    <w:jc w:val="center"/>
                    <w:rPr>
                      <w:rFonts w:ascii="Times New Roman" w:hAnsi="Times New Roman" w:eastAsia="仿宋_GB2312"/>
                      <w:b/>
                      <w:color w:val="000000"/>
                      <w:szCs w:val="21"/>
                    </w:rPr>
                  </w:pPr>
                  <w:r>
                    <w:rPr>
                      <w:rFonts w:ascii="Times New Roman" w:hAnsi="Times New Roman" w:eastAsia="仿宋_GB2312"/>
                      <w:b/>
                      <w:color w:val="000000"/>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城市/农村选项</w:t>
                  </w: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城市/农村</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continue"/>
                  <w:shd w:val="clear" w:color="auto" w:fill="auto"/>
                  <w:vAlign w:val="center"/>
                </w:tcPr>
                <w:p>
                  <w:pPr>
                    <w:jc w:val="center"/>
                    <w:rPr>
                      <w:rFonts w:ascii="Times New Roman" w:hAnsi="Times New Roman" w:eastAsia="仿宋_GB2312"/>
                      <w:color w:val="000000"/>
                      <w:szCs w:val="21"/>
                    </w:rPr>
                  </w:pP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人口数（城市人口数）</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110.96万人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41"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最高环境温度</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41"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最低环境温度</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41"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土地利用类型</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041"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区域湿度条件</w:t>
                  </w:r>
                </w:p>
              </w:tc>
              <w:tc>
                <w:tcPr>
                  <w:tcW w:w="1959"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潮湿</w:t>
                  </w:r>
                  <w:r>
                    <w:rPr>
                      <w:rFonts w:ascii="Times New Roman" w:hAnsi="Times New Roman" w:eastAsia="仿宋_GB2312"/>
                      <w:color w:val="000000"/>
                      <w:szCs w:val="21"/>
                    </w:rPr>
                    <w:t>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是否考虑地形</w:t>
                  </w: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考虑地形</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continue"/>
                  <w:shd w:val="clear" w:color="auto" w:fill="auto"/>
                  <w:vAlign w:val="center"/>
                </w:tcPr>
                <w:p>
                  <w:pPr>
                    <w:jc w:val="center"/>
                    <w:rPr>
                      <w:rFonts w:ascii="Times New Roman" w:hAnsi="Times New Roman" w:eastAsia="仿宋_GB2312"/>
                      <w:color w:val="000000"/>
                      <w:szCs w:val="21"/>
                    </w:rPr>
                  </w:pP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地形数据分辨率（m）</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是否考虑岸线熏烟</w:t>
                  </w: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考虑岸线熏烟</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continue"/>
                  <w:shd w:val="clear" w:color="auto" w:fill="auto"/>
                  <w:vAlign w:val="center"/>
                </w:tcPr>
                <w:p>
                  <w:pPr>
                    <w:jc w:val="center"/>
                    <w:rPr>
                      <w:rFonts w:ascii="Times New Roman" w:hAnsi="Times New Roman" w:eastAsia="仿宋_GB2312"/>
                      <w:color w:val="000000"/>
                      <w:szCs w:val="21"/>
                    </w:rPr>
                  </w:pP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岸线距离/m</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6" w:type="pct"/>
                  <w:vMerge w:val="continue"/>
                  <w:shd w:val="clear" w:color="auto" w:fill="auto"/>
                  <w:vAlign w:val="center"/>
                </w:tcPr>
                <w:p>
                  <w:pPr>
                    <w:jc w:val="center"/>
                    <w:rPr>
                      <w:rFonts w:ascii="Times New Roman" w:hAnsi="Times New Roman" w:eastAsia="仿宋_GB2312"/>
                      <w:color w:val="000000"/>
                      <w:szCs w:val="21"/>
                    </w:rPr>
                  </w:pPr>
                </w:p>
              </w:tc>
              <w:tc>
                <w:tcPr>
                  <w:tcW w:w="1985"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岸线方向/°</w:t>
                  </w:r>
                </w:p>
              </w:tc>
              <w:tc>
                <w:tcPr>
                  <w:tcW w:w="1959"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r>
          </w:tbl>
          <w:p>
            <w:pPr>
              <w:pStyle w:val="253"/>
              <w:rPr>
                <w:rFonts w:eastAsia="仿宋_GB2312"/>
                <w:color w:val="000000"/>
              </w:rPr>
            </w:pPr>
          </w:p>
          <w:p>
            <w:pPr>
              <w:pStyle w:val="82"/>
              <w:spacing w:line="480" w:lineRule="exact"/>
              <w:rPr>
                <w:rFonts w:eastAsia="仿宋_GB2312"/>
                <w:szCs w:val="24"/>
              </w:rPr>
            </w:pPr>
            <w:r>
              <w:rPr>
                <w:rFonts w:hint="eastAsia" w:ascii="宋体" w:hAnsi="宋体" w:cs="宋体"/>
                <w:szCs w:val="24"/>
              </w:rPr>
              <w:t>④</w:t>
            </w:r>
            <w:r>
              <w:rPr>
                <w:rFonts w:eastAsia="仿宋_GB2312"/>
                <w:szCs w:val="24"/>
              </w:rPr>
              <w:t xml:space="preserve"> 污染源计算结果</w:t>
            </w:r>
          </w:p>
          <w:p>
            <w:pPr>
              <w:pStyle w:val="82"/>
              <w:spacing w:line="480" w:lineRule="exact"/>
              <w:rPr>
                <w:rFonts w:eastAsia="仿宋_GB2312"/>
                <w:szCs w:val="24"/>
              </w:rPr>
            </w:pPr>
            <w:r>
              <w:rPr>
                <w:rFonts w:eastAsia="仿宋_GB2312"/>
                <w:szCs w:val="24"/>
              </w:rPr>
              <w:t>污染源结果见下表7-5。</w:t>
            </w:r>
          </w:p>
          <w:p>
            <w:pPr>
              <w:pStyle w:val="245"/>
              <w:rPr>
                <w:rFonts w:eastAsia="仿宋_GB2312"/>
                <w:color w:val="000000"/>
              </w:rPr>
            </w:pPr>
            <w:r>
              <w:rPr>
                <w:rFonts w:eastAsia="仿宋_GB2312"/>
                <w:color w:val="000000"/>
              </w:rPr>
              <w:t>表7-5  主要污染源估算模型计算结果表</w:t>
            </w:r>
          </w:p>
          <w:tbl>
            <w:tblPr>
              <w:tblStyle w:val="38"/>
              <w:tblW w:w="493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337"/>
              <w:gridCol w:w="1839"/>
              <w:gridCol w:w="1836"/>
              <w:gridCol w:w="20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42" w:type="pct"/>
                  <w:gridSpan w:val="2"/>
                  <w:shd w:val="clear" w:color="auto" w:fill="auto"/>
                  <w:vAlign w:val="center"/>
                </w:tcPr>
                <w:p>
                  <w:pPr>
                    <w:adjustRightInd w:val="0"/>
                    <w:snapToGrid w:val="0"/>
                    <w:jc w:val="center"/>
                    <w:rPr>
                      <w:rFonts w:ascii="Times New Roman" w:hAnsi="Times New Roman" w:eastAsia="仿宋_GB2312"/>
                      <w:b/>
                      <w:color w:val="000000"/>
                      <w:sz w:val="18"/>
                      <w:szCs w:val="18"/>
                    </w:rPr>
                  </w:pPr>
                  <w:r>
                    <w:rPr>
                      <w:rFonts w:hint="eastAsia" w:ascii="Times New Roman" w:hAnsi="Times New Roman" w:eastAsia="仿宋_GB2312"/>
                      <w:b/>
                      <w:color w:val="000000"/>
                      <w:sz w:val="18"/>
                      <w:szCs w:val="18"/>
                    </w:rPr>
                    <w:t>污染因子</w:t>
                  </w:r>
                </w:p>
              </w:tc>
              <w:tc>
                <w:tcPr>
                  <w:tcW w:w="1120" w:type="pct"/>
                  <w:shd w:val="clear" w:color="auto" w:fill="auto"/>
                  <w:vAlign w:val="center"/>
                </w:tcPr>
                <w:p>
                  <w:pPr>
                    <w:adjustRightInd w:val="0"/>
                    <w:snapToGrid w:val="0"/>
                    <w:jc w:val="center"/>
                    <w:rPr>
                      <w:rFonts w:ascii="Times New Roman" w:hAnsi="Times New Roman" w:eastAsia="仿宋_GB2312"/>
                      <w:b/>
                      <w:color w:val="000000"/>
                      <w:sz w:val="18"/>
                      <w:szCs w:val="18"/>
                    </w:rPr>
                  </w:pPr>
                  <w:r>
                    <w:rPr>
                      <w:rFonts w:hint="eastAsia" w:ascii="Times New Roman" w:hAnsi="Times New Roman" w:eastAsia="仿宋_GB2312"/>
                      <w:b/>
                      <w:color w:val="000000"/>
                      <w:sz w:val="18"/>
                      <w:szCs w:val="18"/>
                    </w:rPr>
                    <w:t>最大落地浓度Ci（mg</w:t>
                  </w:r>
                  <w:r>
                    <w:rPr>
                      <w:rFonts w:ascii="Times New Roman" w:hAnsi="Times New Roman" w:eastAsia="仿宋_GB2312"/>
                      <w:b/>
                      <w:color w:val="000000"/>
                      <w:sz w:val="18"/>
                      <w:szCs w:val="18"/>
                    </w:rPr>
                    <w:t>/</w:t>
                  </w:r>
                  <w:r>
                    <w:rPr>
                      <w:rFonts w:hint="eastAsia" w:ascii="Times New Roman" w:hAnsi="Times New Roman" w:eastAsia="仿宋_GB2312"/>
                      <w:b/>
                      <w:color w:val="000000"/>
                      <w:sz w:val="18"/>
                      <w:szCs w:val="18"/>
                    </w:rPr>
                    <w:t>m</w:t>
                  </w:r>
                  <w:r>
                    <w:rPr>
                      <w:rFonts w:ascii="Times New Roman" w:hAnsi="Times New Roman" w:eastAsia="仿宋_GB2312"/>
                      <w:b/>
                      <w:color w:val="000000"/>
                      <w:sz w:val="18"/>
                      <w:szCs w:val="18"/>
                      <w:vertAlign w:val="superscript"/>
                    </w:rPr>
                    <w:t>3</w:t>
                  </w:r>
                  <w:r>
                    <w:rPr>
                      <w:rFonts w:hint="eastAsia" w:ascii="Times New Roman" w:hAnsi="Times New Roman" w:eastAsia="仿宋_GB2312"/>
                      <w:b/>
                      <w:color w:val="000000"/>
                      <w:sz w:val="18"/>
                      <w:szCs w:val="18"/>
                    </w:rPr>
                    <w:t>）</w:t>
                  </w:r>
                </w:p>
              </w:tc>
              <w:tc>
                <w:tcPr>
                  <w:tcW w:w="1118" w:type="pct"/>
                  <w:vAlign w:val="center"/>
                </w:tcPr>
                <w:p>
                  <w:pPr>
                    <w:adjustRightInd w:val="0"/>
                    <w:snapToGrid w:val="0"/>
                    <w:jc w:val="center"/>
                    <w:rPr>
                      <w:rFonts w:ascii="Times New Roman" w:hAnsi="Times New Roman" w:eastAsia="仿宋_GB2312"/>
                      <w:b/>
                      <w:color w:val="000000"/>
                      <w:sz w:val="18"/>
                      <w:szCs w:val="18"/>
                    </w:rPr>
                  </w:pPr>
                  <w:r>
                    <w:rPr>
                      <w:rFonts w:hint="eastAsia" w:ascii="Times New Roman" w:hAnsi="Times New Roman" w:eastAsia="仿宋_GB2312"/>
                      <w:b/>
                      <w:color w:val="000000"/>
                      <w:sz w:val="18"/>
                      <w:szCs w:val="18"/>
                    </w:rPr>
                    <w:t>占标率Pi（%）</w:t>
                  </w:r>
                </w:p>
              </w:tc>
              <w:tc>
                <w:tcPr>
                  <w:tcW w:w="1220" w:type="pct"/>
                  <w:vAlign w:val="center"/>
                </w:tcPr>
                <w:p>
                  <w:pPr>
                    <w:adjustRightInd w:val="0"/>
                    <w:snapToGrid w:val="0"/>
                    <w:jc w:val="center"/>
                    <w:rPr>
                      <w:rFonts w:ascii="Times New Roman" w:hAnsi="Times New Roman" w:eastAsia="仿宋_GB2312"/>
                      <w:b/>
                      <w:color w:val="000000"/>
                      <w:sz w:val="18"/>
                      <w:szCs w:val="18"/>
                    </w:rPr>
                  </w:pPr>
                  <w:r>
                    <w:rPr>
                      <w:rFonts w:hint="eastAsia" w:ascii="Times New Roman" w:hAnsi="Times New Roman" w:eastAsia="仿宋_GB2312"/>
                      <w:b/>
                      <w:color w:val="000000"/>
                      <w:sz w:val="18"/>
                      <w:szCs w:val="18"/>
                    </w:rPr>
                    <w:t>最大落地浓度距离（m）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29" w:type="pct"/>
                  <w:vMerge w:val="restar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w:t>
                  </w:r>
                  <w:r>
                    <w:rPr>
                      <w:rFonts w:hint="eastAsia" w:ascii="Times New Roman" w:hAnsi="Times New Roman" w:eastAsia="仿宋_GB2312"/>
                      <w:color w:val="000000"/>
                      <w:sz w:val="18"/>
                      <w:szCs w:val="18"/>
                    </w:rPr>
                    <w:t>#排气筒</w:t>
                  </w: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VOCs</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4.25E-04</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.04</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氯化氢</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1.23E-05</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.02</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氮氧化物</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4.32E-06</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.00</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硫酸雾</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1.54E-05</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.01</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氟化物</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3.08E-06</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.02</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2</w:t>
                  </w:r>
                  <w:r>
                    <w:rPr>
                      <w:rFonts w:ascii="Times New Roman" w:hAnsi="Times New Roman" w:eastAsia="仿宋_GB2312"/>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restar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无组织废气</w:t>
                  </w: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VOCs</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4.18E-03</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.35</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氯化氢</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6.83E-05</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.14</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氮氧化物</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2.32E-05</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.01</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硫酸雾</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6.83E-04</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.02</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9" w:type="pct"/>
                  <w:vMerge w:val="continue"/>
                  <w:shd w:val="clear" w:color="auto" w:fill="auto"/>
                  <w:vAlign w:val="center"/>
                </w:tcPr>
                <w:p>
                  <w:pPr>
                    <w:adjustRightInd w:val="0"/>
                    <w:snapToGrid w:val="0"/>
                    <w:jc w:val="center"/>
                    <w:rPr>
                      <w:rFonts w:ascii="Times New Roman" w:hAnsi="Times New Roman" w:eastAsia="仿宋_GB2312"/>
                      <w:color w:val="000000"/>
                      <w:sz w:val="18"/>
                      <w:szCs w:val="18"/>
                    </w:rPr>
                  </w:pPr>
                </w:p>
              </w:tc>
              <w:tc>
                <w:tcPr>
                  <w:tcW w:w="814"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氟化物</w:t>
                  </w:r>
                </w:p>
              </w:tc>
              <w:tc>
                <w:tcPr>
                  <w:tcW w:w="1120" w:type="pct"/>
                  <w:shd w:val="clear" w:color="auto" w:fill="auto"/>
                  <w:vAlign w:val="center"/>
                </w:tcPr>
                <w:p>
                  <w:pPr>
                    <w:adjustRightInd w:val="0"/>
                    <w:snapToGrid w:val="0"/>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1.64E-05</w:t>
                  </w:r>
                </w:p>
              </w:tc>
              <w:tc>
                <w:tcPr>
                  <w:tcW w:w="1118"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0</w:t>
                  </w:r>
                  <w:r>
                    <w:rPr>
                      <w:rFonts w:ascii="Times New Roman" w:hAnsi="Times New Roman" w:eastAsia="仿宋_GB2312"/>
                      <w:color w:val="000000"/>
                      <w:sz w:val="18"/>
                      <w:szCs w:val="18"/>
                    </w:rPr>
                    <w:t>.14</w:t>
                  </w:r>
                </w:p>
              </w:tc>
              <w:tc>
                <w:tcPr>
                  <w:tcW w:w="1220" w:type="pct"/>
                  <w:vAlign w:val="center"/>
                </w:tcPr>
                <w:p>
                  <w:pPr>
                    <w:adjustRightInd w:val="0"/>
                    <w:snapToGrid w:val="0"/>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3</w:t>
                  </w:r>
                  <w:r>
                    <w:rPr>
                      <w:rFonts w:ascii="Times New Roman" w:hAnsi="Times New Roman" w:eastAsia="仿宋_GB2312"/>
                      <w:color w:val="000000"/>
                      <w:sz w:val="18"/>
                      <w:szCs w:val="18"/>
                    </w:rPr>
                    <w:t>0</w:t>
                  </w:r>
                </w:p>
              </w:tc>
            </w:tr>
          </w:tbl>
          <w:p>
            <w:pPr>
              <w:spacing w:line="500" w:lineRule="exact"/>
              <w:ind w:firstLine="480" w:firstLineChars="200"/>
              <w:rPr>
                <w:rFonts w:ascii="Times New Roman" w:hAnsi="Times New Roman" w:eastAsia="仿宋_GB2312"/>
                <w:color w:val="000000"/>
                <w:sz w:val="24"/>
              </w:rPr>
            </w:pPr>
            <w:r>
              <w:rPr>
                <w:rFonts w:ascii="Times New Roman" w:hAnsi="Times New Roman" w:eastAsia="仿宋_GB2312"/>
                <w:color w:val="000000"/>
                <w:sz w:val="24"/>
              </w:rPr>
              <w:t>综合以上分析，本项目P</w:t>
            </w:r>
            <w:r>
              <w:rPr>
                <w:rFonts w:ascii="Times New Roman" w:hAnsi="Times New Roman" w:eastAsia="仿宋_GB2312"/>
                <w:color w:val="000000"/>
                <w:sz w:val="24"/>
                <w:vertAlign w:val="subscript"/>
              </w:rPr>
              <w:t>max</w:t>
            </w:r>
            <w:r>
              <w:rPr>
                <w:rFonts w:ascii="Times New Roman" w:hAnsi="Times New Roman" w:eastAsia="仿宋_GB2312"/>
                <w:color w:val="000000"/>
                <w:sz w:val="24"/>
              </w:rPr>
              <w:t>最大值出现为实验室面源排放的</w:t>
            </w:r>
            <w:r>
              <w:rPr>
                <w:rFonts w:hint="eastAsia" w:ascii="Times New Roman" w:hAnsi="Times New Roman" w:eastAsia="仿宋_GB2312"/>
                <w:color w:val="000000"/>
                <w:sz w:val="24"/>
              </w:rPr>
              <w:t>V</w:t>
            </w:r>
            <w:r>
              <w:rPr>
                <w:rFonts w:ascii="Times New Roman" w:hAnsi="Times New Roman" w:eastAsia="仿宋_GB2312"/>
                <w:color w:val="000000"/>
                <w:sz w:val="24"/>
              </w:rPr>
              <w:t>OC</w:t>
            </w:r>
            <w:r>
              <w:rPr>
                <w:rFonts w:hint="eastAsia" w:ascii="Times New Roman" w:hAnsi="Times New Roman" w:eastAsia="仿宋_GB2312"/>
                <w:color w:val="000000"/>
                <w:sz w:val="24"/>
              </w:rPr>
              <w:t>s</w:t>
            </w:r>
            <w:r>
              <w:rPr>
                <w:rFonts w:ascii="Times New Roman" w:hAnsi="Times New Roman" w:eastAsia="仿宋_GB2312"/>
                <w:color w:val="000000"/>
                <w:sz w:val="24"/>
              </w:rPr>
              <w:t>，P</w:t>
            </w:r>
            <w:r>
              <w:rPr>
                <w:rFonts w:ascii="Times New Roman" w:hAnsi="Times New Roman" w:eastAsia="仿宋_GB2312"/>
                <w:color w:val="000000"/>
                <w:sz w:val="24"/>
                <w:vertAlign w:val="subscript"/>
              </w:rPr>
              <w:t>max</w:t>
            </w:r>
            <w:r>
              <w:rPr>
                <w:rFonts w:ascii="Times New Roman" w:hAnsi="Times New Roman" w:eastAsia="仿宋_GB2312"/>
                <w:color w:val="000000"/>
                <w:sz w:val="24"/>
              </w:rPr>
              <w:t>值为0.35%，根据《环境影响评价技术导则 大气环境》（HJ2.2-2018）分级判据，确定本项目大气环境影响评价工作等级为三级。</w:t>
            </w:r>
          </w:p>
          <w:p>
            <w:pPr>
              <w:spacing w:line="500" w:lineRule="exact"/>
              <w:ind w:firstLine="480" w:firstLineChars="200"/>
              <w:rPr>
                <w:rFonts w:ascii="Times New Roman" w:hAnsi="Times New Roman" w:eastAsia="仿宋_GB2312"/>
                <w:color w:val="000000"/>
                <w:sz w:val="24"/>
              </w:rPr>
            </w:pPr>
            <w:r>
              <w:rPr>
                <w:rFonts w:ascii="Times New Roman" w:hAnsi="Times New Roman" w:eastAsia="仿宋_GB2312"/>
                <w:color w:val="000000"/>
                <w:sz w:val="24"/>
              </w:rPr>
              <w:t>根据《环境影响评价技术导则大气环境》（HJ2.2-2018）8.1章节，三级评价项目不进行进一步预测与评价，</w:t>
            </w:r>
            <w:r>
              <w:rPr>
                <w:rFonts w:hint="eastAsia" w:ascii="Times New Roman" w:hAnsi="Times New Roman" w:eastAsia="仿宋_GB2312"/>
                <w:color w:val="000000"/>
                <w:sz w:val="24"/>
              </w:rPr>
              <w:t>本项目污染物最大落地浓度占标率很小，对周边环境影响可接受</w:t>
            </w:r>
            <w:r>
              <w:rPr>
                <w:rFonts w:ascii="Times New Roman" w:hAnsi="Times New Roman" w:eastAsia="仿宋_GB2312"/>
                <w:color w:val="000000"/>
                <w:sz w:val="24"/>
              </w:rPr>
              <w:t>。</w:t>
            </w:r>
          </w:p>
          <w:p>
            <w:pPr>
              <w:pStyle w:val="82"/>
              <w:spacing w:line="500" w:lineRule="exact"/>
              <w:rPr>
                <w:rFonts w:eastAsia="仿宋_GB2312"/>
                <w:szCs w:val="24"/>
              </w:rPr>
            </w:pPr>
            <w:r>
              <w:rPr>
                <w:rFonts w:hint="eastAsia" w:ascii="仿宋_GB2312" w:eastAsia="仿宋_GB2312"/>
                <w:szCs w:val="24"/>
              </w:rPr>
              <w:t>⑤</w:t>
            </w:r>
            <w:r>
              <w:rPr>
                <w:rFonts w:eastAsia="仿宋_GB2312"/>
                <w:szCs w:val="24"/>
              </w:rPr>
              <w:t>废气防治措施经济、技术可行性分析</w:t>
            </w:r>
          </w:p>
          <w:p>
            <w:pPr>
              <w:pStyle w:val="82"/>
              <w:spacing w:line="500" w:lineRule="exact"/>
              <w:rPr>
                <w:rFonts w:eastAsia="仿宋_GB2312"/>
                <w:szCs w:val="24"/>
              </w:rPr>
            </w:pPr>
            <w:r>
              <w:rPr>
                <w:rFonts w:eastAsia="仿宋_GB2312"/>
                <w:szCs w:val="24"/>
              </w:rPr>
              <w:t>项目采用活性炭吸附装置处理废气。活性炭吸附法工艺成熟，效果可靠，广泛应用于各行业的有机废气治理。此外，活性炭具有孔径分布合理、吸附容量高、吸附速度快、机械强度大、气流阻力小、易于解吸和再生等优点，在宽浓度范围对大部分无机气体和大多数有机蒸气、溶剂有较强的吸附能力。本项目活性炭吸附装置对有机废气处理效率约为60%。项目废气经活性炭吸附装置处理后可达标排放，因此，项目采用活性炭吸附装置去除废气技术可行。</w:t>
            </w:r>
          </w:p>
          <w:p>
            <w:pPr>
              <w:pStyle w:val="82"/>
              <w:spacing w:line="500" w:lineRule="exact"/>
              <w:rPr>
                <w:rFonts w:eastAsia="仿宋_GB2312"/>
                <w:szCs w:val="24"/>
              </w:rPr>
            </w:pPr>
            <w:r>
              <w:rPr>
                <w:rFonts w:eastAsia="仿宋_GB2312"/>
                <w:szCs w:val="24"/>
              </w:rPr>
              <w:t>废气处理设施除了设备及安装费用、电费以外，还包含少量非常规开支，如设备维修费、监测费用，运行成本在可接受范围内，经济上具有可行性。</w:t>
            </w:r>
          </w:p>
          <w:p>
            <w:pPr>
              <w:pStyle w:val="82"/>
              <w:spacing w:line="500" w:lineRule="exact"/>
              <w:rPr>
                <w:rFonts w:eastAsia="仿宋_GB2312"/>
                <w:szCs w:val="24"/>
              </w:rPr>
            </w:pPr>
            <w:r>
              <w:rPr>
                <w:rFonts w:hint="eastAsia" w:ascii="宋体" w:hAnsi="宋体" w:cs="宋体"/>
                <w:szCs w:val="24"/>
              </w:rPr>
              <w:t>⑥</w:t>
            </w:r>
            <w:r>
              <w:rPr>
                <w:rFonts w:eastAsia="仿宋_GB2312"/>
                <w:bCs/>
                <w:szCs w:val="24"/>
              </w:rPr>
              <w:t>大气污染物排放量核算表</w:t>
            </w:r>
          </w:p>
          <w:p>
            <w:pPr>
              <w:pStyle w:val="82"/>
              <w:spacing w:line="500" w:lineRule="exact"/>
              <w:rPr>
                <w:rFonts w:eastAsia="仿宋_GB2312"/>
                <w:bCs/>
                <w:szCs w:val="24"/>
              </w:rPr>
            </w:pPr>
            <w:r>
              <w:rPr>
                <w:rFonts w:eastAsia="仿宋_GB2312"/>
                <w:bCs/>
                <w:szCs w:val="24"/>
              </w:rPr>
              <w:t>根据《环境影响评价技术导则 大气环境》(HJ2.2-2018)要求填写大气污染物排放量核算表见表7-6、7-7、7-8。</w:t>
            </w:r>
          </w:p>
          <w:p>
            <w:pPr>
              <w:pStyle w:val="245"/>
              <w:rPr>
                <w:rFonts w:eastAsia="仿宋_GB2312"/>
                <w:color w:val="000000"/>
              </w:rPr>
            </w:pPr>
            <w:r>
              <w:rPr>
                <w:rFonts w:eastAsia="仿宋_GB2312"/>
                <w:color w:val="000000"/>
              </w:rPr>
              <w:t>表7-6  大气污染物有组织排放量核算表</w:t>
            </w:r>
          </w:p>
          <w:tbl>
            <w:tblPr>
              <w:tblStyle w:val="38"/>
              <w:tblW w:w="83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936"/>
              <w:gridCol w:w="1244"/>
              <w:gridCol w:w="1824"/>
              <w:gridCol w:w="1891"/>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51" w:type="pct"/>
                  <w:shd w:val="clear" w:color="auto" w:fill="auto"/>
                  <w:vAlign w:val="center"/>
                </w:tcPr>
                <w:p>
                  <w:pPr>
                    <w:pStyle w:val="253"/>
                    <w:rPr>
                      <w:rFonts w:eastAsia="仿宋_GB2312"/>
                      <w:b/>
                      <w:color w:val="000000"/>
                    </w:rPr>
                  </w:pPr>
                  <w:r>
                    <w:rPr>
                      <w:rFonts w:eastAsia="仿宋_GB2312"/>
                      <w:b/>
                      <w:color w:val="000000"/>
                    </w:rPr>
                    <w:t>序号</w:t>
                  </w:r>
                </w:p>
              </w:tc>
              <w:tc>
                <w:tcPr>
                  <w:tcW w:w="561" w:type="pct"/>
                  <w:shd w:val="clear" w:color="auto" w:fill="auto"/>
                  <w:vAlign w:val="center"/>
                </w:tcPr>
                <w:p>
                  <w:pPr>
                    <w:pStyle w:val="253"/>
                    <w:rPr>
                      <w:rFonts w:eastAsia="仿宋_GB2312"/>
                      <w:b/>
                      <w:color w:val="000000"/>
                    </w:rPr>
                  </w:pPr>
                  <w:r>
                    <w:rPr>
                      <w:rFonts w:eastAsia="仿宋_GB2312"/>
                      <w:b/>
                      <w:color w:val="000000"/>
                    </w:rPr>
                    <w:t>排放口编号</w:t>
                  </w:r>
                </w:p>
              </w:tc>
              <w:tc>
                <w:tcPr>
                  <w:tcW w:w="745" w:type="pct"/>
                  <w:shd w:val="clear" w:color="auto" w:fill="auto"/>
                  <w:vAlign w:val="center"/>
                </w:tcPr>
                <w:p>
                  <w:pPr>
                    <w:pStyle w:val="253"/>
                    <w:rPr>
                      <w:rFonts w:eastAsia="仿宋_GB2312"/>
                      <w:b/>
                      <w:color w:val="000000"/>
                    </w:rPr>
                  </w:pPr>
                  <w:r>
                    <w:rPr>
                      <w:rFonts w:eastAsia="仿宋_GB2312"/>
                      <w:b/>
                      <w:color w:val="000000"/>
                    </w:rPr>
                    <w:t>污染物</w:t>
                  </w:r>
                </w:p>
              </w:tc>
              <w:tc>
                <w:tcPr>
                  <w:tcW w:w="1093" w:type="pct"/>
                  <w:shd w:val="clear" w:color="auto" w:fill="auto"/>
                  <w:vAlign w:val="center"/>
                </w:tcPr>
                <w:p>
                  <w:pPr>
                    <w:pStyle w:val="253"/>
                    <w:rPr>
                      <w:rFonts w:eastAsia="仿宋_GB2312"/>
                      <w:b/>
                      <w:color w:val="000000"/>
                    </w:rPr>
                  </w:pPr>
                  <w:r>
                    <w:rPr>
                      <w:rFonts w:eastAsia="仿宋_GB2312"/>
                      <w:b/>
                      <w:color w:val="000000"/>
                    </w:rPr>
                    <w:t>核算排放浓度/（mg/m</w:t>
                  </w:r>
                  <w:r>
                    <w:rPr>
                      <w:rFonts w:eastAsia="仿宋_GB2312"/>
                      <w:b/>
                      <w:color w:val="000000"/>
                      <w:vertAlign w:val="superscript"/>
                    </w:rPr>
                    <w:t>3</w:t>
                  </w:r>
                  <w:r>
                    <w:rPr>
                      <w:rFonts w:eastAsia="仿宋_GB2312"/>
                      <w:b/>
                      <w:color w:val="000000"/>
                    </w:rPr>
                    <w:t>）</w:t>
                  </w:r>
                </w:p>
              </w:tc>
              <w:tc>
                <w:tcPr>
                  <w:tcW w:w="1133" w:type="pct"/>
                  <w:shd w:val="clear" w:color="auto" w:fill="auto"/>
                  <w:vAlign w:val="center"/>
                </w:tcPr>
                <w:p>
                  <w:pPr>
                    <w:pStyle w:val="253"/>
                    <w:rPr>
                      <w:rFonts w:eastAsia="仿宋_GB2312"/>
                      <w:b/>
                      <w:color w:val="000000"/>
                    </w:rPr>
                  </w:pPr>
                  <w:r>
                    <w:rPr>
                      <w:rFonts w:eastAsia="仿宋_GB2312"/>
                      <w:b/>
                      <w:color w:val="000000"/>
                    </w:rPr>
                    <w:t>核算排放速率/（kg/h）</w:t>
                  </w:r>
                </w:p>
              </w:tc>
              <w:tc>
                <w:tcPr>
                  <w:tcW w:w="917" w:type="pct"/>
                  <w:shd w:val="clear" w:color="auto" w:fill="auto"/>
                  <w:vAlign w:val="center"/>
                </w:tcPr>
                <w:p>
                  <w:pPr>
                    <w:pStyle w:val="253"/>
                    <w:rPr>
                      <w:rFonts w:eastAsia="仿宋_GB2312"/>
                      <w:b/>
                      <w:color w:val="000000"/>
                    </w:rPr>
                  </w:pPr>
                  <w:r>
                    <w:rPr>
                      <w:rFonts w:eastAsia="仿宋_GB2312"/>
                      <w:b/>
                      <w:color w:val="000000"/>
                    </w:rPr>
                    <w:t>核算年排放量/（</w:t>
                  </w:r>
                  <w:r>
                    <w:rPr>
                      <w:rFonts w:hint="eastAsia" w:eastAsia="仿宋_GB2312"/>
                      <w:b/>
                      <w:color w:val="000000"/>
                    </w:rPr>
                    <w:t>t</w:t>
                  </w:r>
                  <w:r>
                    <w:rPr>
                      <w:rFonts w:eastAsia="仿宋_GB2312"/>
                      <w:b/>
                      <w:color w:val="000000"/>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000" w:type="pct"/>
                  <w:gridSpan w:val="6"/>
                  <w:shd w:val="clear" w:color="auto" w:fill="auto"/>
                  <w:vAlign w:val="center"/>
                </w:tcPr>
                <w:p>
                  <w:pPr>
                    <w:pStyle w:val="253"/>
                    <w:rPr>
                      <w:rFonts w:eastAsia="仿宋_GB2312"/>
                      <w:color w:val="000000"/>
                    </w:rPr>
                  </w:pPr>
                  <w:r>
                    <w:rPr>
                      <w:rFonts w:eastAsia="仿宋_GB2312"/>
                      <w:color w:val="000000"/>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51" w:type="pct"/>
                  <w:vMerge w:val="restart"/>
                  <w:shd w:val="clear" w:color="auto" w:fill="auto"/>
                  <w:vAlign w:val="center"/>
                </w:tcPr>
                <w:p>
                  <w:pPr>
                    <w:pStyle w:val="253"/>
                    <w:rPr>
                      <w:rFonts w:eastAsia="仿宋_GB2312"/>
                      <w:color w:val="000000"/>
                    </w:rPr>
                  </w:pPr>
                  <w:r>
                    <w:rPr>
                      <w:rFonts w:eastAsia="仿宋_GB2312"/>
                      <w:color w:val="000000"/>
                    </w:rPr>
                    <w:t>1</w:t>
                  </w:r>
                </w:p>
              </w:tc>
              <w:tc>
                <w:tcPr>
                  <w:tcW w:w="561" w:type="pct"/>
                  <w:vMerge w:val="restart"/>
                  <w:shd w:val="clear" w:color="auto" w:fill="auto"/>
                  <w:vAlign w:val="center"/>
                </w:tcPr>
                <w:p>
                  <w:pPr>
                    <w:pStyle w:val="253"/>
                    <w:rPr>
                      <w:rFonts w:eastAsia="仿宋_GB2312"/>
                      <w:color w:val="000000"/>
                    </w:rPr>
                  </w:pPr>
                  <w:r>
                    <w:rPr>
                      <w:rFonts w:eastAsia="仿宋_GB2312"/>
                      <w:color w:val="000000"/>
                    </w:rPr>
                    <w:t>1</w:t>
                  </w:r>
                  <w:r>
                    <w:rPr>
                      <w:rFonts w:hint="eastAsia" w:eastAsia="仿宋_GB2312"/>
                      <w:color w:val="000000"/>
                    </w:rPr>
                    <w:t>#</w:t>
                  </w:r>
                </w:p>
              </w:tc>
              <w:tc>
                <w:tcPr>
                  <w:tcW w:w="745"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氯化氢</w:t>
                  </w:r>
                </w:p>
              </w:tc>
              <w:tc>
                <w:tcPr>
                  <w:tcW w:w="1093"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.013</w:t>
                  </w:r>
                </w:p>
              </w:tc>
              <w:tc>
                <w:tcPr>
                  <w:tcW w:w="1133"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.0004</w:t>
                  </w:r>
                </w:p>
              </w:tc>
              <w:tc>
                <w:tcPr>
                  <w:tcW w:w="917"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51" w:type="pct"/>
                  <w:vMerge w:val="continue"/>
                  <w:shd w:val="clear" w:color="auto" w:fill="auto"/>
                  <w:vAlign w:val="center"/>
                </w:tcPr>
                <w:p>
                  <w:pPr>
                    <w:pStyle w:val="253"/>
                    <w:rPr>
                      <w:rFonts w:eastAsia="仿宋_GB2312"/>
                      <w:color w:val="000000"/>
                    </w:rPr>
                  </w:pPr>
                </w:p>
              </w:tc>
              <w:tc>
                <w:tcPr>
                  <w:tcW w:w="561" w:type="pct"/>
                  <w:vMerge w:val="continue"/>
                  <w:shd w:val="clear" w:color="auto" w:fill="auto"/>
                  <w:vAlign w:val="center"/>
                </w:tcPr>
                <w:p>
                  <w:pPr>
                    <w:pStyle w:val="253"/>
                    <w:rPr>
                      <w:rFonts w:eastAsia="仿宋_GB2312"/>
                      <w:color w:val="000000"/>
                    </w:rPr>
                  </w:pPr>
                </w:p>
              </w:tc>
              <w:tc>
                <w:tcPr>
                  <w:tcW w:w="745"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氮氧化物</w:t>
                  </w:r>
                </w:p>
              </w:tc>
              <w:tc>
                <w:tcPr>
                  <w:tcW w:w="1093"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.005</w:t>
                  </w:r>
                </w:p>
              </w:tc>
              <w:tc>
                <w:tcPr>
                  <w:tcW w:w="1133"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.00014</w:t>
                  </w:r>
                </w:p>
              </w:tc>
              <w:tc>
                <w:tcPr>
                  <w:tcW w:w="917"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51" w:type="pct"/>
                  <w:vMerge w:val="continue"/>
                  <w:shd w:val="clear" w:color="auto" w:fill="auto"/>
                  <w:vAlign w:val="center"/>
                </w:tcPr>
                <w:p>
                  <w:pPr>
                    <w:pStyle w:val="253"/>
                    <w:rPr>
                      <w:rFonts w:eastAsia="仿宋_GB2312"/>
                      <w:color w:val="000000"/>
                    </w:rPr>
                  </w:pPr>
                </w:p>
              </w:tc>
              <w:tc>
                <w:tcPr>
                  <w:tcW w:w="561" w:type="pct"/>
                  <w:vMerge w:val="continue"/>
                  <w:shd w:val="clear" w:color="auto" w:fill="auto"/>
                  <w:vAlign w:val="center"/>
                </w:tcPr>
                <w:p>
                  <w:pPr>
                    <w:pStyle w:val="253"/>
                    <w:rPr>
                      <w:rFonts w:eastAsia="仿宋_GB2312"/>
                      <w:color w:val="000000"/>
                    </w:rPr>
                  </w:pPr>
                </w:p>
              </w:tc>
              <w:tc>
                <w:tcPr>
                  <w:tcW w:w="745"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硫酸雾</w:t>
                  </w:r>
                </w:p>
              </w:tc>
              <w:tc>
                <w:tcPr>
                  <w:tcW w:w="1093"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.017</w:t>
                  </w:r>
                </w:p>
              </w:tc>
              <w:tc>
                <w:tcPr>
                  <w:tcW w:w="1133"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.0005</w:t>
                  </w:r>
                </w:p>
              </w:tc>
              <w:tc>
                <w:tcPr>
                  <w:tcW w:w="917"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51" w:type="pct"/>
                  <w:vMerge w:val="continue"/>
                  <w:shd w:val="clear" w:color="auto" w:fill="auto"/>
                  <w:vAlign w:val="center"/>
                </w:tcPr>
                <w:p>
                  <w:pPr>
                    <w:pStyle w:val="253"/>
                    <w:rPr>
                      <w:rFonts w:eastAsia="仿宋_GB2312"/>
                      <w:color w:val="000000"/>
                    </w:rPr>
                  </w:pPr>
                </w:p>
              </w:tc>
              <w:tc>
                <w:tcPr>
                  <w:tcW w:w="561" w:type="pct"/>
                  <w:vMerge w:val="continue"/>
                  <w:shd w:val="clear" w:color="auto" w:fill="auto"/>
                  <w:vAlign w:val="center"/>
                </w:tcPr>
                <w:p>
                  <w:pPr>
                    <w:pStyle w:val="253"/>
                    <w:rPr>
                      <w:rFonts w:eastAsia="仿宋_GB2312"/>
                      <w:color w:val="000000"/>
                    </w:rPr>
                  </w:pPr>
                </w:p>
              </w:tc>
              <w:tc>
                <w:tcPr>
                  <w:tcW w:w="745"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氟化物</w:t>
                  </w:r>
                </w:p>
              </w:tc>
              <w:tc>
                <w:tcPr>
                  <w:tcW w:w="1093"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.003</w:t>
                  </w:r>
                </w:p>
              </w:tc>
              <w:tc>
                <w:tcPr>
                  <w:tcW w:w="1133" w:type="pct"/>
                  <w:shd w:val="clear" w:color="auto" w:fill="auto"/>
                  <w:vAlign w:val="center"/>
                </w:tcPr>
                <w:p>
                  <w:pPr>
                    <w:widowControl/>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0</w:t>
                  </w:r>
                  <w:r>
                    <w:rPr>
                      <w:rFonts w:ascii="Times New Roman" w:hAnsi="Times New Roman" w:eastAsia="仿宋_GB2312"/>
                      <w:color w:val="000000"/>
                      <w:kern w:val="0"/>
                      <w:szCs w:val="21"/>
                    </w:rPr>
                    <w:t>.0001</w:t>
                  </w:r>
                </w:p>
              </w:tc>
              <w:tc>
                <w:tcPr>
                  <w:tcW w:w="917"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0.000192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51" w:type="pct"/>
                  <w:vMerge w:val="continue"/>
                  <w:shd w:val="clear" w:color="auto" w:fill="auto"/>
                  <w:vAlign w:val="center"/>
                </w:tcPr>
                <w:p>
                  <w:pPr>
                    <w:pStyle w:val="253"/>
                    <w:rPr>
                      <w:rFonts w:eastAsia="仿宋_GB2312"/>
                      <w:color w:val="000000"/>
                    </w:rPr>
                  </w:pPr>
                </w:p>
              </w:tc>
              <w:tc>
                <w:tcPr>
                  <w:tcW w:w="561" w:type="pct"/>
                  <w:vMerge w:val="continue"/>
                  <w:shd w:val="clear" w:color="auto" w:fill="auto"/>
                  <w:vAlign w:val="center"/>
                </w:tcPr>
                <w:p>
                  <w:pPr>
                    <w:pStyle w:val="253"/>
                    <w:rPr>
                      <w:rFonts w:eastAsia="仿宋_GB2312"/>
                      <w:color w:val="000000"/>
                    </w:rPr>
                  </w:pPr>
                </w:p>
              </w:tc>
              <w:tc>
                <w:tcPr>
                  <w:tcW w:w="745" w:type="pct"/>
                  <w:shd w:val="clear" w:color="auto" w:fill="auto"/>
                  <w:vAlign w:val="center"/>
                </w:tcPr>
                <w:p>
                  <w:pPr>
                    <w:pStyle w:val="11"/>
                    <w:adjustRightInd w:val="0"/>
                    <w:snapToGrid w:val="0"/>
                    <w:ind w:firstLine="0"/>
                    <w:jc w:val="center"/>
                    <w:rPr>
                      <w:rFonts w:ascii="Times New Roman" w:hAnsi="Times New Roman" w:eastAsia="仿宋_GB2312"/>
                      <w:color w:val="000000"/>
                      <w:szCs w:val="21"/>
                    </w:rPr>
                  </w:pPr>
                  <w:r>
                    <w:rPr>
                      <w:rFonts w:ascii="Times New Roman" w:hAnsi="Times New Roman" w:eastAsia="仿宋_GB2312"/>
                      <w:color w:val="000000"/>
                      <w:szCs w:val="21"/>
                    </w:rPr>
                    <w:t>VOCs</w:t>
                  </w:r>
                </w:p>
              </w:tc>
              <w:tc>
                <w:tcPr>
                  <w:tcW w:w="1093"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.43</w:t>
                  </w:r>
                </w:p>
              </w:tc>
              <w:tc>
                <w:tcPr>
                  <w:tcW w:w="1133"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.0128</w:t>
                  </w:r>
                </w:p>
              </w:tc>
              <w:tc>
                <w:tcPr>
                  <w:tcW w:w="917"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restart"/>
                  <w:shd w:val="clear" w:color="auto" w:fill="auto"/>
                  <w:vAlign w:val="center"/>
                </w:tcPr>
                <w:p>
                  <w:pPr>
                    <w:pStyle w:val="253"/>
                    <w:rPr>
                      <w:rFonts w:eastAsia="仿宋_GB2312"/>
                      <w:color w:val="000000"/>
                    </w:rPr>
                  </w:pPr>
                  <w:r>
                    <w:rPr>
                      <w:rFonts w:eastAsia="仿宋_GB2312"/>
                      <w:color w:val="000000"/>
                    </w:rPr>
                    <w:t>一般排放口合计</w:t>
                  </w:r>
                </w:p>
              </w:tc>
              <w:tc>
                <w:tcPr>
                  <w:tcW w:w="2971" w:type="pct"/>
                  <w:gridSpan w:val="3"/>
                  <w:shd w:val="clear" w:color="auto" w:fill="auto"/>
                  <w:vAlign w:val="center"/>
                </w:tcPr>
                <w:p>
                  <w:pPr>
                    <w:pStyle w:val="253"/>
                    <w:rPr>
                      <w:rFonts w:eastAsia="仿宋_GB2312"/>
                      <w:color w:val="000000"/>
                    </w:rPr>
                  </w:pPr>
                  <w:r>
                    <w:rPr>
                      <w:rFonts w:eastAsia="仿宋_GB2312"/>
                      <w:color w:val="000000"/>
                    </w:rPr>
                    <w:t>VOCs</w:t>
                  </w:r>
                </w:p>
              </w:tc>
              <w:tc>
                <w:tcPr>
                  <w:tcW w:w="917" w:type="pct"/>
                  <w:tcBorders>
                    <w:top w:val="nil"/>
                    <w:left w:val="nil"/>
                    <w:bottom w:val="single" w:color="auto" w:sz="8" w:space="0"/>
                    <w:right w:val="nil"/>
                  </w:tcBorders>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pStyle w:val="253"/>
                    <w:rPr>
                      <w:rFonts w:eastAsia="仿宋_GB2312"/>
                      <w:color w:val="000000"/>
                    </w:rPr>
                  </w:pPr>
                </w:p>
              </w:tc>
              <w:tc>
                <w:tcPr>
                  <w:tcW w:w="2971" w:type="pct"/>
                  <w:gridSpan w:val="3"/>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氯化氢</w:t>
                  </w:r>
                </w:p>
              </w:tc>
              <w:tc>
                <w:tcPr>
                  <w:tcW w:w="917" w:type="pct"/>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pStyle w:val="253"/>
                    <w:rPr>
                      <w:rFonts w:eastAsia="仿宋_GB2312"/>
                      <w:color w:val="000000"/>
                    </w:rPr>
                  </w:pP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917" w:type="pct"/>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pStyle w:val="253"/>
                    <w:rPr>
                      <w:rFonts w:eastAsia="仿宋_GB2312"/>
                      <w:color w:val="000000"/>
                    </w:rPr>
                  </w:pP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917" w:type="pct"/>
                  <w:tcBorders>
                    <w:top w:val="nil"/>
                    <w:left w:val="nil"/>
                    <w:bottom w:val="single" w:color="auto" w:sz="8" w:space="0"/>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pStyle w:val="253"/>
                    <w:rPr>
                      <w:rFonts w:eastAsia="仿宋_GB2312"/>
                      <w:color w:val="000000"/>
                    </w:rPr>
                  </w:pP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917" w:type="pct"/>
                  <w:tcBorders>
                    <w:top w:val="nil"/>
                    <w:left w:val="nil"/>
                    <w:bottom w:val="nil"/>
                    <w:right w:val="nil"/>
                  </w:tcBorders>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5000" w:type="pct"/>
                  <w:gridSpan w:val="6"/>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有组织排放总计</w:t>
                  </w: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VOCs</w:t>
                  </w:r>
                </w:p>
              </w:tc>
              <w:tc>
                <w:tcPr>
                  <w:tcW w:w="917"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jc w:val="center"/>
                    <w:rPr>
                      <w:rFonts w:ascii="Times New Roman" w:hAnsi="Times New Roman" w:eastAsia="仿宋_GB2312"/>
                      <w:color w:val="000000"/>
                      <w:szCs w:val="21"/>
                    </w:rPr>
                  </w:pP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91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jc w:val="center"/>
                    <w:rPr>
                      <w:rFonts w:ascii="Times New Roman" w:hAnsi="Times New Roman" w:eastAsia="仿宋_GB2312"/>
                      <w:color w:val="000000"/>
                      <w:szCs w:val="21"/>
                    </w:rPr>
                  </w:pP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91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jc w:val="center"/>
                    <w:rPr>
                      <w:rFonts w:ascii="Times New Roman" w:hAnsi="Times New Roman" w:eastAsia="仿宋_GB2312"/>
                      <w:color w:val="000000"/>
                      <w:szCs w:val="21"/>
                    </w:rPr>
                  </w:pPr>
                </w:p>
              </w:tc>
              <w:tc>
                <w:tcPr>
                  <w:tcW w:w="2971"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91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1112" w:type="pct"/>
                  <w:gridSpan w:val="2"/>
                  <w:vMerge w:val="continue"/>
                  <w:shd w:val="clear" w:color="auto" w:fill="auto"/>
                  <w:vAlign w:val="center"/>
                </w:tcPr>
                <w:p>
                  <w:pPr>
                    <w:jc w:val="center"/>
                    <w:rPr>
                      <w:rFonts w:ascii="Times New Roman" w:hAnsi="Times New Roman" w:eastAsia="仿宋_GB2312"/>
                      <w:color w:val="000000"/>
                      <w:szCs w:val="21"/>
                    </w:rPr>
                  </w:pPr>
                </w:p>
              </w:tc>
              <w:tc>
                <w:tcPr>
                  <w:tcW w:w="2971" w:type="pct"/>
                  <w:gridSpan w:val="3"/>
                  <w:shd w:val="clear" w:color="auto" w:fill="auto"/>
                </w:tcPr>
                <w:p>
                  <w:pPr>
                    <w:jc w:val="center"/>
                    <w:rPr>
                      <w:rFonts w:ascii="Times New Roman" w:hAnsi="Times New Roman" w:eastAsia="仿宋_GB2312"/>
                    </w:rPr>
                  </w:pPr>
                  <w:r>
                    <w:rPr>
                      <w:rFonts w:ascii="Times New Roman" w:hAnsi="Times New Roman" w:eastAsia="仿宋_GB2312"/>
                    </w:rPr>
                    <w:t>氟化物</w:t>
                  </w:r>
                </w:p>
              </w:tc>
              <w:tc>
                <w:tcPr>
                  <w:tcW w:w="917"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0.000192</w:t>
                  </w:r>
                </w:p>
              </w:tc>
            </w:tr>
          </w:tbl>
          <w:p>
            <w:pPr>
              <w:pStyle w:val="244"/>
              <w:rPr>
                <w:rFonts w:eastAsia="仿宋_GB2312"/>
                <w:color w:val="000000"/>
              </w:rPr>
            </w:pPr>
          </w:p>
          <w:p>
            <w:pPr>
              <w:pStyle w:val="245"/>
              <w:rPr>
                <w:rFonts w:eastAsia="仿宋_GB2312"/>
                <w:color w:val="000000"/>
              </w:rPr>
            </w:pPr>
          </w:p>
          <w:p>
            <w:pPr>
              <w:pStyle w:val="245"/>
              <w:rPr>
                <w:rFonts w:eastAsia="仿宋_GB2312"/>
                <w:color w:val="000000"/>
              </w:rPr>
            </w:pPr>
          </w:p>
          <w:p>
            <w:pPr>
              <w:pStyle w:val="245"/>
              <w:rPr>
                <w:rFonts w:eastAsia="仿宋_GB2312"/>
                <w:color w:val="000000"/>
              </w:rPr>
            </w:pPr>
          </w:p>
          <w:p>
            <w:pPr>
              <w:pStyle w:val="245"/>
              <w:rPr>
                <w:rFonts w:eastAsia="仿宋_GB2312"/>
                <w:color w:val="000000"/>
              </w:rPr>
            </w:pPr>
          </w:p>
          <w:p>
            <w:pPr>
              <w:pStyle w:val="245"/>
              <w:rPr>
                <w:rFonts w:eastAsia="仿宋_GB2312"/>
                <w:color w:val="000000"/>
              </w:rPr>
            </w:pPr>
          </w:p>
          <w:p>
            <w:pPr>
              <w:pStyle w:val="245"/>
              <w:rPr>
                <w:rFonts w:eastAsia="仿宋_GB2312"/>
                <w:color w:val="000000"/>
              </w:rPr>
            </w:pPr>
            <w:r>
              <w:rPr>
                <w:rFonts w:eastAsia="仿宋_GB2312"/>
                <w:color w:val="000000"/>
              </w:rPr>
              <w:t>表7-7  无组织排放废气排放情况一览表</w:t>
            </w:r>
          </w:p>
          <w:tbl>
            <w:tblPr>
              <w:tblStyle w:val="38"/>
              <w:tblpPr w:leftFromText="180" w:rightFromText="180" w:vertAnchor="text" w:tblpXSpec="center" w:tblpY="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613"/>
              <w:gridCol w:w="673"/>
              <w:gridCol w:w="613"/>
              <w:gridCol w:w="532"/>
              <w:gridCol w:w="710"/>
              <w:gridCol w:w="2329"/>
              <w:gridCol w:w="1256"/>
              <w:gridCol w:w="1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22" w:type="pct"/>
                  <w:vMerge w:val="restart"/>
                  <w:shd w:val="clear" w:color="auto" w:fill="auto"/>
                  <w:vAlign w:val="center"/>
                </w:tcPr>
                <w:p>
                  <w:pPr>
                    <w:pStyle w:val="253"/>
                    <w:rPr>
                      <w:rFonts w:eastAsia="仿宋_GB2312"/>
                      <w:b/>
                      <w:color w:val="000000"/>
                    </w:rPr>
                  </w:pPr>
                  <w:r>
                    <w:rPr>
                      <w:rFonts w:eastAsia="仿宋_GB2312"/>
                      <w:b/>
                      <w:color w:val="000000"/>
                    </w:rPr>
                    <w:t>序号</w:t>
                  </w:r>
                </w:p>
              </w:tc>
              <w:tc>
                <w:tcPr>
                  <w:tcW w:w="369" w:type="pct"/>
                  <w:vMerge w:val="restart"/>
                  <w:shd w:val="clear" w:color="auto" w:fill="auto"/>
                  <w:vAlign w:val="center"/>
                </w:tcPr>
                <w:p>
                  <w:pPr>
                    <w:pStyle w:val="253"/>
                    <w:rPr>
                      <w:rFonts w:eastAsia="仿宋_GB2312"/>
                      <w:b/>
                      <w:color w:val="000000"/>
                    </w:rPr>
                  </w:pPr>
                  <w:r>
                    <w:rPr>
                      <w:rFonts w:eastAsia="仿宋_GB2312"/>
                      <w:b/>
                      <w:color w:val="000000"/>
                    </w:rPr>
                    <w:t>排放口编号</w:t>
                  </w:r>
                </w:p>
              </w:tc>
              <w:tc>
                <w:tcPr>
                  <w:tcW w:w="405" w:type="pct"/>
                  <w:vMerge w:val="restart"/>
                  <w:shd w:val="clear" w:color="auto" w:fill="auto"/>
                  <w:vAlign w:val="center"/>
                </w:tcPr>
                <w:p>
                  <w:pPr>
                    <w:pStyle w:val="253"/>
                    <w:rPr>
                      <w:rFonts w:eastAsia="仿宋_GB2312"/>
                      <w:b/>
                      <w:color w:val="000000"/>
                    </w:rPr>
                  </w:pPr>
                  <w:r>
                    <w:rPr>
                      <w:rFonts w:eastAsia="仿宋_GB2312"/>
                      <w:b/>
                      <w:color w:val="000000"/>
                    </w:rPr>
                    <w:t>产污</w:t>
                  </w:r>
                </w:p>
                <w:p>
                  <w:pPr>
                    <w:pStyle w:val="253"/>
                    <w:rPr>
                      <w:rFonts w:eastAsia="仿宋_GB2312"/>
                      <w:b/>
                      <w:color w:val="000000"/>
                    </w:rPr>
                  </w:pPr>
                  <w:r>
                    <w:rPr>
                      <w:rFonts w:eastAsia="仿宋_GB2312"/>
                      <w:b/>
                      <w:color w:val="000000"/>
                    </w:rPr>
                    <w:t>环节</w:t>
                  </w:r>
                </w:p>
              </w:tc>
              <w:tc>
                <w:tcPr>
                  <w:tcW w:w="689" w:type="pct"/>
                  <w:gridSpan w:val="2"/>
                  <w:vMerge w:val="restart"/>
                  <w:shd w:val="clear" w:color="auto" w:fill="auto"/>
                  <w:vAlign w:val="center"/>
                </w:tcPr>
                <w:p>
                  <w:pPr>
                    <w:pStyle w:val="253"/>
                    <w:rPr>
                      <w:rFonts w:eastAsia="仿宋_GB2312"/>
                      <w:b/>
                      <w:color w:val="000000"/>
                    </w:rPr>
                  </w:pPr>
                  <w:r>
                    <w:rPr>
                      <w:rFonts w:eastAsia="仿宋_GB2312"/>
                      <w:b/>
                      <w:color w:val="000000"/>
                    </w:rPr>
                    <w:t>污染物</w:t>
                  </w:r>
                </w:p>
              </w:tc>
              <w:tc>
                <w:tcPr>
                  <w:tcW w:w="427" w:type="pct"/>
                  <w:vMerge w:val="restart"/>
                  <w:shd w:val="clear" w:color="auto" w:fill="auto"/>
                  <w:vAlign w:val="center"/>
                </w:tcPr>
                <w:p>
                  <w:pPr>
                    <w:pStyle w:val="253"/>
                    <w:rPr>
                      <w:rFonts w:eastAsia="仿宋_GB2312"/>
                      <w:b/>
                      <w:color w:val="000000"/>
                    </w:rPr>
                  </w:pPr>
                  <w:r>
                    <w:rPr>
                      <w:rFonts w:eastAsia="仿宋_GB2312"/>
                      <w:b/>
                      <w:color w:val="000000"/>
                    </w:rPr>
                    <w:t>主要污染防治措施</w:t>
                  </w:r>
                </w:p>
              </w:tc>
              <w:tc>
                <w:tcPr>
                  <w:tcW w:w="2156" w:type="pct"/>
                  <w:gridSpan w:val="2"/>
                  <w:shd w:val="clear" w:color="auto" w:fill="auto"/>
                  <w:vAlign w:val="center"/>
                </w:tcPr>
                <w:p>
                  <w:pPr>
                    <w:pStyle w:val="253"/>
                    <w:rPr>
                      <w:rFonts w:eastAsia="仿宋_GB2312"/>
                      <w:b/>
                      <w:color w:val="000000"/>
                    </w:rPr>
                  </w:pPr>
                  <w:r>
                    <w:rPr>
                      <w:rFonts w:eastAsia="仿宋_GB2312"/>
                      <w:b/>
                      <w:color w:val="000000"/>
                    </w:rPr>
                    <w:t>国家或地方污染物排放标准</w:t>
                  </w:r>
                </w:p>
              </w:tc>
              <w:tc>
                <w:tcPr>
                  <w:tcW w:w="632" w:type="pct"/>
                  <w:vMerge w:val="restart"/>
                  <w:shd w:val="clear" w:color="auto" w:fill="auto"/>
                  <w:vAlign w:val="center"/>
                </w:tcPr>
                <w:p>
                  <w:pPr>
                    <w:pStyle w:val="253"/>
                    <w:rPr>
                      <w:rFonts w:eastAsia="仿宋_GB2312"/>
                      <w:b/>
                      <w:color w:val="000000"/>
                    </w:rPr>
                  </w:pPr>
                  <w:r>
                    <w:rPr>
                      <w:rFonts w:eastAsia="仿宋_GB2312"/>
                      <w:b/>
                      <w:color w:val="000000"/>
                    </w:rPr>
                    <w:t>年排放量/（</w:t>
                  </w:r>
                  <w:r>
                    <w:rPr>
                      <w:rFonts w:hint="eastAsia" w:eastAsia="仿宋_GB2312"/>
                      <w:b/>
                      <w:color w:val="000000"/>
                    </w:rPr>
                    <w:t>t</w:t>
                  </w:r>
                  <w:r>
                    <w:rPr>
                      <w:rFonts w:eastAsia="仿宋_GB2312"/>
                      <w:b/>
                      <w:color w:val="000000"/>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22" w:type="pct"/>
                  <w:vMerge w:val="continue"/>
                  <w:shd w:val="clear" w:color="auto" w:fill="auto"/>
                  <w:vAlign w:val="center"/>
                </w:tcPr>
                <w:p>
                  <w:pPr>
                    <w:pStyle w:val="253"/>
                    <w:rPr>
                      <w:rFonts w:eastAsia="仿宋_GB2312"/>
                      <w:b/>
                      <w:color w:val="000000"/>
                    </w:rPr>
                  </w:pPr>
                </w:p>
              </w:tc>
              <w:tc>
                <w:tcPr>
                  <w:tcW w:w="369" w:type="pct"/>
                  <w:vMerge w:val="continue"/>
                  <w:shd w:val="clear" w:color="auto" w:fill="auto"/>
                  <w:vAlign w:val="center"/>
                </w:tcPr>
                <w:p>
                  <w:pPr>
                    <w:pStyle w:val="253"/>
                    <w:rPr>
                      <w:rFonts w:eastAsia="仿宋_GB2312"/>
                      <w:b/>
                      <w:color w:val="000000"/>
                    </w:rPr>
                  </w:pPr>
                </w:p>
              </w:tc>
              <w:tc>
                <w:tcPr>
                  <w:tcW w:w="405" w:type="pct"/>
                  <w:vMerge w:val="continue"/>
                  <w:shd w:val="clear" w:color="auto" w:fill="auto"/>
                  <w:vAlign w:val="center"/>
                </w:tcPr>
                <w:p>
                  <w:pPr>
                    <w:pStyle w:val="253"/>
                    <w:rPr>
                      <w:rFonts w:eastAsia="仿宋_GB2312"/>
                      <w:b/>
                      <w:color w:val="000000"/>
                    </w:rPr>
                  </w:pPr>
                </w:p>
              </w:tc>
              <w:tc>
                <w:tcPr>
                  <w:tcW w:w="689" w:type="pct"/>
                  <w:gridSpan w:val="2"/>
                  <w:vMerge w:val="continue"/>
                  <w:shd w:val="clear" w:color="auto" w:fill="auto"/>
                  <w:vAlign w:val="center"/>
                </w:tcPr>
                <w:p>
                  <w:pPr>
                    <w:pStyle w:val="253"/>
                    <w:rPr>
                      <w:rFonts w:eastAsia="仿宋_GB2312"/>
                      <w:b/>
                      <w:color w:val="000000"/>
                    </w:rPr>
                  </w:pPr>
                </w:p>
              </w:tc>
              <w:tc>
                <w:tcPr>
                  <w:tcW w:w="427" w:type="pct"/>
                  <w:vMerge w:val="continue"/>
                  <w:shd w:val="clear" w:color="auto" w:fill="auto"/>
                  <w:vAlign w:val="center"/>
                </w:tcPr>
                <w:p>
                  <w:pPr>
                    <w:pStyle w:val="253"/>
                    <w:rPr>
                      <w:rFonts w:eastAsia="仿宋_GB2312"/>
                      <w:b/>
                      <w:color w:val="000000"/>
                    </w:rPr>
                  </w:pPr>
                </w:p>
              </w:tc>
              <w:tc>
                <w:tcPr>
                  <w:tcW w:w="1401" w:type="pct"/>
                  <w:vMerge w:val="restart"/>
                  <w:shd w:val="clear" w:color="auto" w:fill="auto"/>
                  <w:vAlign w:val="center"/>
                </w:tcPr>
                <w:p>
                  <w:pPr>
                    <w:pStyle w:val="253"/>
                    <w:rPr>
                      <w:rFonts w:eastAsia="仿宋_GB2312"/>
                      <w:b/>
                      <w:color w:val="000000"/>
                    </w:rPr>
                  </w:pPr>
                  <w:r>
                    <w:rPr>
                      <w:rFonts w:eastAsia="仿宋_GB2312"/>
                      <w:b/>
                      <w:color w:val="000000"/>
                    </w:rPr>
                    <w:t>标准名称</w:t>
                  </w:r>
                </w:p>
              </w:tc>
              <w:tc>
                <w:tcPr>
                  <w:tcW w:w="755" w:type="pct"/>
                  <w:vMerge w:val="restart"/>
                  <w:shd w:val="clear" w:color="auto" w:fill="auto"/>
                  <w:vAlign w:val="center"/>
                </w:tcPr>
                <w:p>
                  <w:pPr>
                    <w:pStyle w:val="253"/>
                    <w:rPr>
                      <w:rFonts w:eastAsia="仿宋_GB2312"/>
                      <w:b/>
                      <w:color w:val="000000"/>
                    </w:rPr>
                  </w:pPr>
                  <w:r>
                    <w:rPr>
                      <w:rFonts w:eastAsia="仿宋_GB2312"/>
                      <w:b/>
                      <w:color w:val="000000"/>
                    </w:rPr>
                    <w:t>浓度限值/（mg/m</w:t>
                  </w:r>
                  <w:r>
                    <w:rPr>
                      <w:rFonts w:eastAsia="仿宋_GB2312"/>
                      <w:b/>
                      <w:color w:val="000000"/>
                      <w:vertAlign w:val="superscript"/>
                    </w:rPr>
                    <w:t>3</w:t>
                  </w:r>
                  <w:r>
                    <w:rPr>
                      <w:rFonts w:eastAsia="仿宋_GB2312"/>
                      <w:b/>
                      <w:color w:val="000000"/>
                    </w:rPr>
                    <w:t>）</w:t>
                  </w:r>
                </w:p>
              </w:tc>
              <w:tc>
                <w:tcPr>
                  <w:tcW w:w="632"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22" w:type="pct"/>
                  <w:vMerge w:val="continue"/>
                  <w:shd w:val="clear" w:color="auto" w:fill="auto"/>
                  <w:vAlign w:val="center"/>
                </w:tcPr>
                <w:p>
                  <w:pPr>
                    <w:pStyle w:val="253"/>
                    <w:rPr>
                      <w:rFonts w:eastAsia="仿宋_GB2312"/>
                      <w:color w:val="000000"/>
                    </w:rPr>
                  </w:pPr>
                </w:p>
              </w:tc>
              <w:tc>
                <w:tcPr>
                  <w:tcW w:w="369" w:type="pct"/>
                  <w:vMerge w:val="continue"/>
                  <w:shd w:val="clear" w:color="auto" w:fill="auto"/>
                  <w:vAlign w:val="center"/>
                </w:tcPr>
                <w:p>
                  <w:pPr>
                    <w:pStyle w:val="253"/>
                    <w:rPr>
                      <w:rFonts w:eastAsia="仿宋_GB2312"/>
                      <w:color w:val="000000"/>
                    </w:rPr>
                  </w:pPr>
                </w:p>
              </w:tc>
              <w:tc>
                <w:tcPr>
                  <w:tcW w:w="405" w:type="pct"/>
                  <w:vMerge w:val="continue"/>
                  <w:shd w:val="clear" w:color="auto" w:fill="auto"/>
                  <w:vAlign w:val="center"/>
                </w:tcPr>
                <w:p>
                  <w:pPr>
                    <w:pStyle w:val="253"/>
                    <w:rPr>
                      <w:rFonts w:eastAsia="仿宋_GB2312"/>
                      <w:color w:val="000000"/>
                    </w:rPr>
                  </w:pPr>
                </w:p>
              </w:tc>
              <w:tc>
                <w:tcPr>
                  <w:tcW w:w="689" w:type="pct"/>
                  <w:gridSpan w:val="2"/>
                  <w:vMerge w:val="continue"/>
                  <w:shd w:val="clear" w:color="auto" w:fill="auto"/>
                  <w:vAlign w:val="center"/>
                </w:tcPr>
                <w:p>
                  <w:pPr>
                    <w:pStyle w:val="253"/>
                    <w:rPr>
                      <w:rFonts w:eastAsia="仿宋_GB2312"/>
                      <w:color w:val="000000"/>
                    </w:rPr>
                  </w:pPr>
                </w:p>
              </w:tc>
              <w:tc>
                <w:tcPr>
                  <w:tcW w:w="427" w:type="pct"/>
                  <w:vMerge w:val="continue"/>
                  <w:shd w:val="clear" w:color="auto" w:fill="auto"/>
                  <w:vAlign w:val="center"/>
                </w:tcPr>
                <w:p>
                  <w:pPr>
                    <w:pStyle w:val="253"/>
                    <w:rPr>
                      <w:rFonts w:eastAsia="仿宋_GB2312"/>
                      <w:color w:val="000000"/>
                    </w:rPr>
                  </w:pPr>
                </w:p>
              </w:tc>
              <w:tc>
                <w:tcPr>
                  <w:tcW w:w="1401" w:type="pct"/>
                  <w:vMerge w:val="continue"/>
                  <w:shd w:val="clear" w:color="auto" w:fill="auto"/>
                  <w:vAlign w:val="center"/>
                </w:tcPr>
                <w:p>
                  <w:pPr>
                    <w:pStyle w:val="253"/>
                    <w:rPr>
                      <w:rFonts w:eastAsia="仿宋_GB2312"/>
                      <w:color w:val="000000"/>
                    </w:rPr>
                  </w:pPr>
                </w:p>
              </w:tc>
              <w:tc>
                <w:tcPr>
                  <w:tcW w:w="755" w:type="pct"/>
                  <w:vMerge w:val="continue"/>
                  <w:shd w:val="clear" w:color="auto" w:fill="auto"/>
                  <w:vAlign w:val="center"/>
                </w:tcPr>
                <w:p>
                  <w:pPr>
                    <w:pStyle w:val="253"/>
                    <w:rPr>
                      <w:rFonts w:eastAsia="仿宋_GB2312"/>
                      <w:color w:val="000000"/>
                    </w:rPr>
                  </w:pPr>
                </w:p>
              </w:tc>
              <w:tc>
                <w:tcPr>
                  <w:tcW w:w="632"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22" w:type="pct"/>
                  <w:shd w:val="clear" w:color="auto" w:fill="auto"/>
                  <w:vAlign w:val="center"/>
                </w:tcPr>
                <w:p>
                  <w:pPr>
                    <w:pStyle w:val="253"/>
                    <w:rPr>
                      <w:rFonts w:eastAsia="仿宋_GB2312"/>
                      <w:color w:val="000000"/>
                    </w:rPr>
                  </w:pPr>
                  <w:r>
                    <w:rPr>
                      <w:rFonts w:eastAsia="仿宋_GB2312"/>
                      <w:color w:val="000000"/>
                    </w:rPr>
                    <w:t>1</w:t>
                  </w:r>
                </w:p>
              </w:tc>
              <w:tc>
                <w:tcPr>
                  <w:tcW w:w="369" w:type="pct"/>
                  <w:vMerge w:val="restart"/>
                  <w:shd w:val="clear" w:color="auto" w:fill="auto"/>
                  <w:vAlign w:val="center"/>
                </w:tcPr>
                <w:p>
                  <w:pPr>
                    <w:pStyle w:val="253"/>
                    <w:rPr>
                      <w:rFonts w:eastAsia="仿宋_GB2312"/>
                      <w:color w:val="000000"/>
                    </w:rPr>
                  </w:pPr>
                  <w:r>
                    <w:rPr>
                      <w:rFonts w:hint="eastAsia" w:eastAsia="仿宋_GB2312"/>
                      <w:color w:val="000000"/>
                    </w:rPr>
                    <w:t>未完全补集的废气</w:t>
                  </w:r>
                </w:p>
              </w:tc>
              <w:tc>
                <w:tcPr>
                  <w:tcW w:w="405" w:type="pct"/>
                  <w:vMerge w:val="restart"/>
                  <w:shd w:val="clear" w:color="auto" w:fill="auto"/>
                  <w:vAlign w:val="center"/>
                </w:tcPr>
                <w:p>
                  <w:pPr>
                    <w:pStyle w:val="253"/>
                    <w:rPr>
                      <w:rFonts w:eastAsia="仿宋_GB2312"/>
                      <w:color w:val="000000"/>
                    </w:rPr>
                  </w:pPr>
                  <w:r>
                    <w:rPr>
                      <w:rFonts w:hint="eastAsia" w:eastAsia="仿宋_GB2312"/>
                      <w:color w:val="000000"/>
                    </w:rPr>
                    <w:t>实验室</w:t>
                  </w:r>
                </w:p>
              </w:tc>
              <w:tc>
                <w:tcPr>
                  <w:tcW w:w="689" w:type="pct"/>
                  <w:gridSpan w:val="2"/>
                  <w:shd w:val="clear" w:color="auto" w:fill="auto"/>
                  <w:vAlign w:val="center"/>
                </w:tcPr>
                <w:p>
                  <w:pPr>
                    <w:pStyle w:val="253"/>
                    <w:rPr>
                      <w:rFonts w:eastAsia="仿宋_GB2312"/>
                      <w:color w:val="000000"/>
                    </w:rPr>
                  </w:pPr>
                  <w:r>
                    <w:rPr>
                      <w:rFonts w:eastAsia="仿宋_GB2312"/>
                      <w:color w:val="000000"/>
                    </w:rPr>
                    <w:t>VOCs</w:t>
                  </w:r>
                </w:p>
              </w:tc>
              <w:tc>
                <w:tcPr>
                  <w:tcW w:w="427" w:type="pct"/>
                  <w:vMerge w:val="restart"/>
                  <w:shd w:val="clear" w:color="auto" w:fill="auto"/>
                  <w:vAlign w:val="center"/>
                </w:tcPr>
                <w:p>
                  <w:pPr>
                    <w:pStyle w:val="253"/>
                    <w:rPr>
                      <w:rFonts w:eastAsia="仿宋_GB2312"/>
                      <w:color w:val="000000"/>
                    </w:rPr>
                  </w:pPr>
                  <w:r>
                    <w:rPr>
                      <w:rFonts w:eastAsia="仿宋_GB2312"/>
                      <w:color w:val="000000"/>
                    </w:rPr>
                    <w:t>集气罩、通风橱</w:t>
                  </w:r>
                  <w:r>
                    <w:rPr>
                      <w:rFonts w:hint="eastAsia" w:eastAsia="仿宋_GB2312"/>
                      <w:color w:val="000000"/>
                    </w:rPr>
                    <w:t>收集、活性炭吸附</w:t>
                  </w:r>
                </w:p>
              </w:tc>
              <w:tc>
                <w:tcPr>
                  <w:tcW w:w="1401" w:type="pct"/>
                  <w:shd w:val="clear" w:color="auto" w:fill="auto"/>
                  <w:vAlign w:val="center"/>
                </w:tcPr>
                <w:p>
                  <w:pPr>
                    <w:pStyle w:val="253"/>
                    <w:rPr>
                      <w:rFonts w:eastAsia="仿宋_GB2312"/>
                      <w:color w:val="000000"/>
                    </w:rPr>
                  </w:pPr>
                  <w:r>
                    <w:rPr>
                      <w:rFonts w:eastAsia="仿宋_GB2312"/>
                      <w:color w:val="000000"/>
                    </w:rPr>
                    <w:t>天津市《工业企业挥发性有机物排放控制标准》（DB12/524-2014）</w:t>
                  </w:r>
                </w:p>
              </w:tc>
              <w:tc>
                <w:tcPr>
                  <w:tcW w:w="755" w:type="pc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2.0</w:t>
                  </w:r>
                </w:p>
              </w:tc>
              <w:tc>
                <w:tcPr>
                  <w:tcW w:w="632"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22" w:type="pct"/>
                  <w:shd w:val="clear" w:color="auto" w:fill="auto"/>
                  <w:vAlign w:val="center"/>
                </w:tcPr>
                <w:p>
                  <w:pPr>
                    <w:pStyle w:val="253"/>
                    <w:rPr>
                      <w:rFonts w:eastAsia="仿宋_GB2312"/>
                      <w:color w:val="000000"/>
                    </w:rPr>
                  </w:pPr>
                  <w:r>
                    <w:rPr>
                      <w:rFonts w:eastAsia="仿宋_GB2312"/>
                      <w:color w:val="000000"/>
                    </w:rPr>
                    <w:t>2</w:t>
                  </w:r>
                </w:p>
              </w:tc>
              <w:tc>
                <w:tcPr>
                  <w:tcW w:w="369" w:type="pct"/>
                  <w:vMerge w:val="continue"/>
                  <w:shd w:val="clear" w:color="auto" w:fill="auto"/>
                  <w:vAlign w:val="center"/>
                </w:tcPr>
                <w:p>
                  <w:pPr>
                    <w:pStyle w:val="253"/>
                    <w:rPr>
                      <w:rFonts w:eastAsia="仿宋_GB2312"/>
                      <w:color w:val="000000"/>
                    </w:rPr>
                  </w:pPr>
                </w:p>
              </w:tc>
              <w:tc>
                <w:tcPr>
                  <w:tcW w:w="405" w:type="pct"/>
                  <w:vMerge w:val="continue"/>
                  <w:shd w:val="clear" w:color="auto" w:fill="auto"/>
                  <w:vAlign w:val="center"/>
                </w:tcPr>
                <w:p>
                  <w:pPr>
                    <w:pStyle w:val="253"/>
                    <w:rPr>
                      <w:rFonts w:eastAsia="仿宋_GB2312"/>
                      <w:color w:val="000000"/>
                    </w:rPr>
                  </w:pPr>
                </w:p>
              </w:tc>
              <w:tc>
                <w:tcPr>
                  <w:tcW w:w="689"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427" w:type="pct"/>
                  <w:vMerge w:val="continue"/>
                  <w:shd w:val="clear" w:color="auto" w:fill="auto"/>
                  <w:vAlign w:val="center"/>
                </w:tcPr>
                <w:p>
                  <w:pPr>
                    <w:pStyle w:val="253"/>
                    <w:rPr>
                      <w:rFonts w:eastAsia="仿宋_GB2312"/>
                      <w:color w:val="000000"/>
                    </w:rPr>
                  </w:pPr>
                </w:p>
              </w:tc>
              <w:tc>
                <w:tcPr>
                  <w:tcW w:w="1401" w:type="pct"/>
                  <w:vMerge w:val="restar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《大气污染物综合排放标准》（GB 16297-1996）</w:t>
                  </w:r>
                </w:p>
              </w:tc>
              <w:tc>
                <w:tcPr>
                  <w:tcW w:w="755" w:type="pc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0.2</w:t>
                  </w:r>
                </w:p>
              </w:tc>
              <w:tc>
                <w:tcPr>
                  <w:tcW w:w="632"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22" w:type="pct"/>
                  <w:shd w:val="clear" w:color="auto" w:fill="auto"/>
                  <w:vAlign w:val="center"/>
                </w:tcPr>
                <w:p>
                  <w:pPr>
                    <w:pStyle w:val="253"/>
                    <w:rPr>
                      <w:rFonts w:eastAsia="仿宋_GB2312"/>
                      <w:color w:val="000000"/>
                    </w:rPr>
                  </w:pPr>
                  <w:r>
                    <w:rPr>
                      <w:rFonts w:eastAsia="仿宋_GB2312"/>
                      <w:color w:val="000000"/>
                    </w:rPr>
                    <w:t>3</w:t>
                  </w:r>
                </w:p>
              </w:tc>
              <w:tc>
                <w:tcPr>
                  <w:tcW w:w="369" w:type="pct"/>
                  <w:vMerge w:val="continue"/>
                  <w:shd w:val="clear" w:color="auto" w:fill="auto"/>
                  <w:vAlign w:val="center"/>
                </w:tcPr>
                <w:p>
                  <w:pPr>
                    <w:pStyle w:val="253"/>
                    <w:rPr>
                      <w:rFonts w:eastAsia="仿宋_GB2312"/>
                      <w:color w:val="000000"/>
                    </w:rPr>
                  </w:pPr>
                </w:p>
              </w:tc>
              <w:tc>
                <w:tcPr>
                  <w:tcW w:w="405" w:type="pct"/>
                  <w:vMerge w:val="continue"/>
                  <w:shd w:val="clear" w:color="auto" w:fill="auto"/>
                  <w:vAlign w:val="center"/>
                </w:tcPr>
                <w:p>
                  <w:pPr>
                    <w:pStyle w:val="253"/>
                    <w:rPr>
                      <w:rFonts w:eastAsia="仿宋_GB2312"/>
                      <w:color w:val="000000"/>
                    </w:rPr>
                  </w:pPr>
                </w:p>
              </w:tc>
              <w:tc>
                <w:tcPr>
                  <w:tcW w:w="689"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427" w:type="pct"/>
                  <w:vMerge w:val="continue"/>
                  <w:shd w:val="clear" w:color="auto" w:fill="auto"/>
                  <w:vAlign w:val="center"/>
                </w:tcPr>
                <w:p>
                  <w:pPr>
                    <w:pStyle w:val="253"/>
                    <w:rPr>
                      <w:rFonts w:eastAsia="仿宋_GB2312"/>
                      <w:color w:val="000000"/>
                    </w:rPr>
                  </w:pPr>
                </w:p>
              </w:tc>
              <w:tc>
                <w:tcPr>
                  <w:tcW w:w="1401" w:type="pct"/>
                  <w:vMerge w:val="continue"/>
                  <w:shd w:val="clear" w:color="auto" w:fill="auto"/>
                  <w:vAlign w:val="center"/>
                </w:tcPr>
                <w:p>
                  <w:pPr>
                    <w:pStyle w:val="253"/>
                    <w:rPr>
                      <w:rFonts w:eastAsia="仿宋_GB2312"/>
                      <w:color w:val="000000"/>
                    </w:rPr>
                  </w:pPr>
                </w:p>
              </w:tc>
              <w:tc>
                <w:tcPr>
                  <w:tcW w:w="755" w:type="pc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0.12</w:t>
                  </w:r>
                </w:p>
              </w:tc>
              <w:tc>
                <w:tcPr>
                  <w:tcW w:w="632"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22" w:type="pct"/>
                  <w:shd w:val="clear" w:color="auto" w:fill="auto"/>
                  <w:vAlign w:val="center"/>
                </w:tcPr>
                <w:p>
                  <w:pPr>
                    <w:pStyle w:val="253"/>
                    <w:rPr>
                      <w:rFonts w:eastAsia="仿宋_GB2312"/>
                      <w:color w:val="000000"/>
                    </w:rPr>
                  </w:pPr>
                  <w:r>
                    <w:rPr>
                      <w:rFonts w:eastAsia="仿宋_GB2312"/>
                      <w:color w:val="000000"/>
                    </w:rPr>
                    <w:t>4</w:t>
                  </w:r>
                </w:p>
              </w:tc>
              <w:tc>
                <w:tcPr>
                  <w:tcW w:w="369" w:type="pct"/>
                  <w:vMerge w:val="continue"/>
                  <w:shd w:val="clear" w:color="auto" w:fill="auto"/>
                  <w:vAlign w:val="center"/>
                </w:tcPr>
                <w:p>
                  <w:pPr>
                    <w:pStyle w:val="253"/>
                    <w:rPr>
                      <w:rFonts w:eastAsia="仿宋_GB2312"/>
                      <w:color w:val="000000"/>
                    </w:rPr>
                  </w:pPr>
                </w:p>
              </w:tc>
              <w:tc>
                <w:tcPr>
                  <w:tcW w:w="405" w:type="pct"/>
                  <w:vMerge w:val="continue"/>
                  <w:shd w:val="clear" w:color="auto" w:fill="auto"/>
                  <w:vAlign w:val="center"/>
                </w:tcPr>
                <w:p>
                  <w:pPr>
                    <w:pStyle w:val="253"/>
                    <w:rPr>
                      <w:rFonts w:eastAsia="仿宋_GB2312"/>
                      <w:color w:val="000000"/>
                    </w:rPr>
                  </w:pPr>
                </w:p>
              </w:tc>
              <w:tc>
                <w:tcPr>
                  <w:tcW w:w="689"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427" w:type="pct"/>
                  <w:vMerge w:val="continue"/>
                  <w:shd w:val="clear" w:color="auto" w:fill="auto"/>
                  <w:vAlign w:val="center"/>
                </w:tcPr>
                <w:p>
                  <w:pPr>
                    <w:pStyle w:val="253"/>
                    <w:rPr>
                      <w:rFonts w:eastAsia="仿宋_GB2312"/>
                      <w:color w:val="000000"/>
                    </w:rPr>
                  </w:pPr>
                </w:p>
              </w:tc>
              <w:tc>
                <w:tcPr>
                  <w:tcW w:w="1401" w:type="pct"/>
                  <w:vMerge w:val="continue"/>
                  <w:shd w:val="clear" w:color="auto" w:fill="auto"/>
                  <w:vAlign w:val="center"/>
                </w:tcPr>
                <w:p>
                  <w:pPr>
                    <w:pStyle w:val="253"/>
                    <w:rPr>
                      <w:rFonts w:eastAsia="仿宋_GB2312"/>
                      <w:color w:val="000000"/>
                    </w:rPr>
                  </w:pPr>
                </w:p>
              </w:tc>
              <w:tc>
                <w:tcPr>
                  <w:tcW w:w="755" w:type="pc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1.2</w:t>
                  </w:r>
                </w:p>
              </w:tc>
              <w:tc>
                <w:tcPr>
                  <w:tcW w:w="632"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22" w:type="pct"/>
                  <w:shd w:val="clear" w:color="auto" w:fill="auto"/>
                  <w:vAlign w:val="center"/>
                </w:tcPr>
                <w:p>
                  <w:pPr>
                    <w:pStyle w:val="253"/>
                    <w:rPr>
                      <w:rFonts w:eastAsia="仿宋_GB2312"/>
                      <w:color w:val="000000"/>
                    </w:rPr>
                  </w:pPr>
                  <w:r>
                    <w:rPr>
                      <w:rFonts w:eastAsia="仿宋_GB2312"/>
                      <w:color w:val="000000"/>
                    </w:rPr>
                    <w:t>5</w:t>
                  </w:r>
                </w:p>
              </w:tc>
              <w:tc>
                <w:tcPr>
                  <w:tcW w:w="369" w:type="pct"/>
                  <w:vMerge w:val="continue"/>
                  <w:shd w:val="clear" w:color="auto" w:fill="auto"/>
                  <w:vAlign w:val="center"/>
                </w:tcPr>
                <w:p>
                  <w:pPr>
                    <w:pStyle w:val="253"/>
                    <w:rPr>
                      <w:rFonts w:eastAsia="仿宋_GB2312"/>
                      <w:color w:val="000000"/>
                    </w:rPr>
                  </w:pPr>
                </w:p>
              </w:tc>
              <w:tc>
                <w:tcPr>
                  <w:tcW w:w="405" w:type="pct"/>
                  <w:vMerge w:val="continue"/>
                  <w:shd w:val="clear" w:color="auto" w:fill="auto"/>
                  <w:vAlign w:val="center"/>
                </w:tcPr>
                <w:p>
                  <w:pPr>
                    <w:pStyle w:val="253"/>
                    <w:rPr>
                      <w:rFonts w:eastAsia="仿宋_GB2312"/>
                      <w:color w:val="000000"/>
                    </w:rPr>
                  </w:pPr>
                </w:p>
              </w:tc>
              <w:tc>
                <w:tcPr>
                  <w:tcW w:w="689"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427" w:type="pct"/>
                  <w:vMerge w:val="continue"/>
                  <w:shd w:val="clear" w:color="auto" w:fill="auto"/>
                  <w:vAlign w:val="center"/>
                </w:tcPr>
                <w:p>
                  <w:pPr>
                    <w:pStyle w:val="253"/>
                    <w:rPr>
                      <w:rFonts w:eastAsia="仿宋_GB2312"/>
                      <w:color w:val="000000"/>
                    </w:rPr>
                  </w:pPr>
                </w:p>
              </w:tc>
              <w:tc>
                <w:tcPr>
                  <w:tcW w:w="1401" w:type="pct"/>
                  <w:vMerge w:val="continue"/>
                  <w:shd w:val="clear" w:color="auto" w:fill="auto"/>
                  <w:vAlign w:val="center"/>
                </w:tcPr>
                <w:p>
                  <w:pPr>
                    <w:pStyle w:val="253"/>
                    <w:rPr>
                      <w:rFonts w:eastAsia="仿宋_GB2312"/>
                      <w:color w:val="000000"/>
                    </w:rPr>
                  </w:pPr>
                </w:p>
              </w:tc>
              <w:tc>
                <w:tcPr>
                  <w:tcW w:w="755" w:type="pct"/>
                  <w:shd w:val="clear" w:color="auto" w:fill="auto"/>
                  <w:vAlign w:val="center"/>
                </w:tcPr>
                <w:p>
                  <w:pPr>
                    <w:pStyle w:val="90"/>
                    <w:spacing w:line="240" w:lineRule="auto"/>
                    <w:rPr>
                      <w:rFonts w:ascii="Times New Roman" w:hAnsi="Times New Roman" w:eastAsia="仿宋_GB2312"/>
                      <w:color w:val="000000"/>
                      <w:szCs w:val="21"/>
                    </w:rPr>
                  </w:pPr>
                  <w:r>
                    <w:rPr>
                      <w:rFonts w:ascii="Times New Roman" w:hAnsi="Times New Roman" w:eastAsia="仿宋_GB2312"/>
                      <w:color w:val="000000"/>
                      <w:szCs w:val="21"/>
                    </w:rPr>
                    <w:t>0.02</w:t>
                  </w:r>
                </w:p>
              </w:tc>
              <w:tc>
                <w:tcPr>
                  <w:tcW w:w="632"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000" w:type="pct"/>
                  <w:gridSpan w:val="9"/>
                  <w:shd w:val="clear" w:color="auto" w:fill="auto"/>
                  <w:vAlign w:val="center"/>
                </w:tcPr>
                <w:p>
                  <w:pPr>
                    <w:pStyle w:val="253"/>
                    <w:rPr>
                      <w:rFonts w:eastAsia="仿宋_GB2312"/>
                      <w:color w:val="000000"/>
                    </w:rPr>
                  </w:pPr>
                  <w:r>
                    <w:rPr>
                      <w:rFonts w:eastAsia="仿宋_GB2312"/>
                      <w:color w:val="000000"/>
                    </w:rPr>
                    <w:t>全厂无组织排放总计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65" w:type="pct"/>
                  <w:gridSpan w:val="4"/>
                  <w:vMerge w:val="restart"/>
                  <w:shd w:val="clear" w:color="auto" w:fill="auto"/>
                  <w:vAlign w:val="center"/>
                </w:tcPr>
                <w:p>
                  <w:pPr>
                    <w:pStyle w:val="253"/>
                    <w:rPr>
                      <w:rFonts w:eastAsia="仿宋_GB2312"/>
                      <w:color w:val="000000"/>
                    </w:rPr>
                  </w:pPr>
                  <w:r>
                    <w:rPr>
                      <w:rFonts w:eastAsia="仿宋_GB2312"/>
                      <w:color w:val="000000"/>
                    </w:rPr>
                    <w:t>全厂无组织排放总计（t/a）</w:t>
                  </w:r>
                </w:p>
              </w:tc>
              <w:tc>
                <w:tcPr>
                  <w:tcW w:w="2147" w:type="pct"/>
                  <w:gridSpan w:val="3"/>
                  <w:shd w:val="clear" w:color="auto" w:fill="auto"/>
                  <w:vAlign w:val="center"/>
                </w:tcPr>
                <w:p>
                  <w:pPr>
                    <w:pStyle w:val="253"/>
                    <w:rPr>
                      <w:rFonts w:eastAsia="仿宋_GB2312"/>
                      <w:color w:val="000000"/>
                    </w:rPr>
                  </w:pPr>
                  <w:r>
                    <w:rPr>
                      <w:rFonts w:eastAsia="仿宋_GB2312"/>
                      <w:color w:val="000000"/>
                    </w:rPr>
                    <w:t>VOCs</w:t>
                  </w:r>
                </w:p>
              </w:tc>
              <w:tc>
                <w:tcPr>
                  <w:tcW w:w="1387"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65" w:type="pct"/>
                  <w:gridSpan w:val="4"/>
                  <w:vMerge w:val="continue"/>
                  <w:shd w:val="clear" w:color="auto" w:fill="auto"/>
                  <w:vAlign w:val="center"/>
                </w:tcPr>
                <w:p>
                  <w:pPr>
                    <w:pStyle w:val="253"/>
                    <w:rPr>
                      <w:rFonts w:eastAsia="仿宋_GB2312"/>
                      <w:color w:val="000000"/>
                    </w:rPr>
                  </w:pPr>
                </w:p>
              </w:tc>
              <w:tc>
                <w:tcPr>
                  <w:tcW w:w="214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1387"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65" w:type="pct"/>
                  <w:gridSpan w:val="4"/>
                  <w:vMerge w:val="continue"/>
                  <w:shd w:val="clear" w:color="auto" w:fill="auto"/>
                  <w:vAlign w:val="center"/>
                </w:tcPr>
                <w:p>
                  <w:pPr>
                    <w:pStyle w:val="253"/>
                    <w:rPr>
                      <w:rFonts w:eastAsia="仿宋_GB2312"/>
                      <w:color w:val="000000"/>
                    </w:rPr>
                  </w:pPr>
                </w:p>
              </w:tc>
              <w:tc>
                <w:tcPr>
                  <w:tcW w:w="214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1387"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65" w:type="pct"/>
                  <w:gridSpan w:val="4"/>
                  <w:vMerge w:val="continue"/>
                  <w:shd w:val="clear" w:color="auto" w:fill="auto"/>
                  <w:vAlign w:val="center"/>
                </w:tcPr>
                <w:p>
                  <w:pPr>
                    <w:pStyle w:val="253"/>
                    <w:rPr>
                      <w:rFonts w:eastAsia="仿宋_GB2312"/>
                      <w:color w:val="000000"/>
                    </w:rPr>
                  </w:pPr>
                </w:p>
              </w:tc>
              <w:tc>
                <w:tcPr>
                  <w:tcW w:w="214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1387"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465" w:type="pct"/>
                  <w:gridSpan w:val="4"/>
                  <w:vMerge w:val="continue"/>
                  <w:shd w:val="clear" w:color="auto" w:fill="auto"/>
                  <w:vAlign w:val="center"/>
                </w:tcPr>
                <w:p>
                  <w:pPr>
                    <w:pStyle w:val="253"/>
                    <w:rPr>
                      <w:rFonts w:eastAsia="仿宋_GB2312"/>
                      <w:color w:val="000000"/>
                    </w:rPr>
                  </w:pPr>
                </w:p>
              </w:tc>
              <w:tc>
                <w:tcPr>
                  <w:tcW w:w="214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1387" w:type="pct"/>
                  <w:gridSpan w:val="2"/>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0.000048</w:t>
                  </w:r>
                </w:p>
              </w:tc>
            </w:tr>
          </w:tbl>
          <w:p>
            <w:pPr>
              <w:pStyle w:val="245"/>
              <w:rPr>
                <w:rFonts w:eastAsia="仿宋_GB2312"/>
                <w:color w:val="000000"/>
              </w:rPr>
            </w:pPr>
            <w:r>
              <w:rPr>
                <w:rFonts w:eastAsia="仿宋_GB2312"/>
                <w:color w:val="000000"/>
                <w:lang w:val="zh-CN"/>
              </w:rPr>
              <w:t>表</w:t>
            </w:r>
            <w:r>
              <w:rPr>
                <w:rFonts w:eastAsia="仿宋_GB2312"/>
                <w:color w:val="000000"/>
              </w:rPr>
              <w:t xml:space="preserve">7-8  </w:t>
            </w:r>
            <w:r>
              <w:rPr>
                <w:rFonts w:eastAsia="仿宋_GB2312"/>
                <w:color w:val="000000"/>
                <w:lang w:val="zh-CN"/>
              </w:rPr>
              <w:t>大气污染物年排放量核算表</w:t>
            </w:r>
          </w:p>
          <w:tbl>
            <w:tblPr>
              <w:tblStyle w:val="38"/>
              <w:tblpPr w:leftFromText="180" w:rightFromText="180" w:vertAnchor="text" w:tblpXSpec="center" w:tblpY="1"/>
              <w:tblW w:w="77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976"/>
              <w:gridCol w:w="2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7" w:hRule="atLeast"/>
              </w:trPr>
              <w:tc>
                <w:tcPr>
                  <w:tcW w:w="2127" w:type="dxa"/>
                  <w:shd w:val="clear" w:color="auto" w:fill="auto"/>
                  <w:vAlign w:val="center"/>
                </w:tcPr>
                <w:p>
                  <w:pPr>
                    <w:pStyle w:val="244"/>
                    <w:rPr>
                      <w:rFonts w:eastAsia="仿宋_GB2312"/>
                      <w:b/>
                      <w:color w:val="000000"/>
                    </w:rPr>
                  </w:pPr>
                  <w:r>
                    <w:rPr>
                      <w:rFonts w:eastAsia="仿宋_GB2312"/>
                      <w:b/>
                      <w:color w:val="000000"/>
                    </w:rPr>
                    <w:t>序号</w:t>
                  </w:r>
                </w:p>
              </w:tc>
              <w:tc>
                <w:tcPr>
                  <w:tcW w:w="2976" w:type="dxa"/>
                  <w:shd w:val="clear" w:color="auto" w:fill="auto"/>
                  <w:vAlign w:val="center"/>
                </w:tcPr>
                <w:p>
                  <w:pPr>
                    <w:pStyle w:val="244"/>
                    <w:rPr>
                      <w:rFonts w:eastAsia="仿宋_GB2312"/>
                      <w:b/>
                      <w:color w:val="000000"/>
                    </w:rPr>
                  </w:pPr>
                  <w:r>
                    <w:rPr>
                      <w:rFonts w:eastAsia="仿宋_GB2312"/>
                      <w:b/>
                      <w:color w:val="000000"/>
                    </w:rPr>
                    <w:t>污染物</w:t>
                  </w:r>
                </w:p>
              </w:tc>
              <w:tc>
                <w:tcPr>
                  <w:tcW w:w="2635" w:type="dxa"/>
                  <w:shd w:val="clear" w:color="auto" w:fill="auto"/>
                  <w:vAlign w:val="center"/>
                </w:tcPr>
                <w:p>
                  <w:pPr>
                    <w:pStyle w:val="244"/>
                    <w:rPr>
                      <w:rFonts w:eastAsia="仿宋_GB2312"/>
                      <w:b/>
                      <w:color w:val="000000"/>
                    </w:rPr>
                  </w:pPr>
                  <w:r>
                    <w:rPr>
                      <w:rFonts w:eastAsia="仿宋_GB2312"/>
                      <w:b/>
                      <w:color w:val="000000"/>
                    </w:rPr>
                    <w:t>年排放量（</w:t>
                  </w:r>
                  <w:r>
                    <w:rPr>
                      <w:rFonts w:hint="eastAsia" w:eastAsia="仿宋_GB2312"/>
                      <w:b/>
                      <w:color w:val="000000"/>
                    </w:rPr>
                    <w:t>t</w:t>
                  </w:r>
                  <w:r>
                    <w:rPr>
                      <w:rFonts w:eastAsia="仿宋_GB2312"/>
                      <w:b/>
                      <w:color w:val="000000"/>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127" w:type="dxa"/>
                  <w:shd w:val="clear" w:color="auto" w:fill="auto"/>
                  <w:vAlign w:val="center"/>
                </w:tcPr>
                <w:p>
                  <w:pPr>
                    <w:pStyle w:val="253"/>
                    <w:rPr>
                      <w:rFonts w:eastAsia="仿宋_GB2312"/>
                      <w:color w:val="000000"/>
                    </w:rPr>
                  </w:pPr>
                  <w:r>
                    <w:rPr>
                      <w:rFonts w:eastAsia="仿宋_GB2312"/>
                      <w:color w:val="000000"/>
                    </w:rPr>
                    <w:t>1</w:t>
                  </w:r>
                </w:p>
              </w:tc>
              <w:tc>
                <w:tcPr>
                  <w:tcW w:w="2976" w:type="dxa"/>
                  <w:shd w:val="clear" w:color="auto" w:fill="auto"/>
                  <w:vAlign w:val="center"/>
                </w:tcPr>
                <w:p>
                  <w:pPr>
                    <w:pStyle w:val="253"/>
                    <w:rPr>
                      <w:rFonts w:eastAsia="仿宋_GB2312"/>
                      <w:color w:val="000000"/>
                    </w:rPr>
                  </w:pPr>
                  <w:r>
                    <w:rPr>
                      <w:rFonts w:eastAsia="仿宋_GB2312"/>
                      <w:color w:val="000000"/>
                    </w:rPr>
                    <w:t>VOCs</w:t>
                  </w:r>
                </w:p>
              </w:tc>
              <w:tc>
                <w:tcPr>
                  <w:tcW w:w="2635" w:type="dxa"/>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0.0431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127" w:type="dxa"/>
                  <w:shd w:val="clear" w:color="auto" w:fill="auto"/>
                  <w:vAlign w:val="center"/>
                </w:tcPr>
                <w:p>
                  <w:pPr>
                    <w:pStyle w:val="253"/>
                    <w:rPr>
                      <w:rFonts w:eastAsia="仿宋_GB2312"/>
                      <w:color w:val="000000"/>
                    </w:rPr>
                  </w:pPr>
                  <w:r>
                    <w:rPr>
                      <w:rFonts w:eastAsia="仿宋_GB2312"/>
                      <w:color w:val="000000"/>
                    </w:rPr>
                    <w:t>2</w:t>
                  </w:r>
                </w:p>
              </w:tc>
              <w:tc>
                <w:tcPr>
                  <w:tcW w:w="2976"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氯化氢</w:t>
                  </w:r>
                </w:p>
              </w:tc>
              <w:tc>
                <w:tcPr>
                  <w:tcW w:w="2635"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127" w:type="dxa"/>
                  <w:shd w:val="clear" w:color="auto" w:fill="auto"/>
                  <w:vAlign w:val="center"/>
                </w:tcPr>
                <w:p>
                  <w:pPr>
                    <w:pStyle w:val="253"/>
                    <w:rPr>
                      <w:rFonts w:eastAsia="仿宋_GB2312"/>
                      <w:color w:val="000000"/>
                    </w:rPr>
                  </w:pPr>
                  <w:r>
                    <w:rPr>
                      <w:rFonts w:eastAsia="仿宋_GB2312"/>
                      <w:color w:val="000000"/>
                    </w:rPr>
                    <w:t>3</w:t>
                  </w:r>
                </w:p>
              </w:tc>
              <w:tc>
                <w:tcPr>
                  <w:tcW w:w="2976"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氮氧化物</w:t>
                  </w:r>
                </w:p>
              </w:tc>
              <w:tc>
                <w:tcPr>
                  <w:tcW w:w="2635"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.000345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127" w:type="dxa"/>
                  <w:shd w:val="clear" w:color="auto" w:fill="auto"/>
                  <w:vAlign w:val="center"/>
                </w:tcPr>
                <w:p>
                  <w:pPr>
                    <w:pStyle w:val="253"/>
                    <w:rPr>
                      <w:rFonts w:eastAsia="仿宋_GB2312"/>
                      <w:color w:val="000000"/>
                    </w:rPr>
                  </w:pPr>
                  <w:r>
                    <w:rPr>
                      <w:rFonts w:eastAsia="仿宋_GB2312"/>
                      <w:color w:val="000000"/>
                    </w:rPr>
                    <w:t>4</w:t>
                  </w:r>
                </w:p>
              </w:tc>
              <w:tc>
                <w:tcPr>
                  <w:tcW w:w="2976"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硫酸雾</w:t>
                  </w:r>
                </w:p>
              </w:tc>
              <w:tc>
                <w:tcPr>
                  <w:tcW w:w="2635"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.001164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127" w:type="dxa"/>
                  <w:shd w:val="clear" w:color="auto" w:fill="auto"/>
                  <w:vAlign w:val="center"/>
                </w:tcPr>
                <w:p>
                  <w:pPr>
                    <w:pStyle w:val="253"/>
                    <w:rPr>
                      <w:rFonts w:eastAsia="仿宋_GB2312"/>
                      <w:color w:val="000000"/>
                    </w:rPr>
                  </w:pPr>
                  <w:r>
                    <w:rPr>
                      <w:rFonts w:eastAsia="仿宋_GB2312"/>
                      <w:color w:val="000000"/>
                    </w:rPr>
                    <w:t>5</w:t>
                  </w:r>
                </w:p>
              </w:tc>
              <w:tc>
                <w:tcPr>
                  <w:tcW w:w="2976"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氟化物</w:t>
                  </w:r>
                </w:p>
              </w:tc>
              <w:tc>
                <w:tcPr>
                  <w:tcW w:w="2635"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.00024</w:t>
                  </w:r>
                </w:p>
              </w:tc>
            </w:tr>
          </w:tbl>
          <w:p>
            <w:pPr>
              <w:pStyle w:val="253"/>
              <w:rPr>
                <w:rFonts w:eastAsia="仿宋_GB2312"/>
                <w:color w:val="000000"/>
              </w:rPr>
            </w:pPr>
          </w:p>
          <w:p>
            <w:pPr>
              <w:pStyle w:val="82"/>
              <w:spacing w:line="500" w:lineRule="exact"/>
              <w:rPr>
                <w:rFonts w:eastAsia="仿宋_GB2312"/>
                <w:szCs w:val="24"/>
              </w:rPr>
            </w:pPr>
            <w:r>
              <w:rPr>
                <w:rFonts w:hint="eastAsia" w:ascii="宋体" w:hAnsi="宋体" w:cs="宋体"/>
                <w:szCs w:val="24"/>
              </w:rPr>
              <w:t>⑨</w:t>
            </w:r>
            <w:r>
              <w:rPr>
                <w:rFonts w:eastAsia="仿宋_GB2312"/>
                <w:szCs w:val="24"/>
              </w:rPr>
              <w:t xml:space="preserve"> 大气环境影响评价结论</w:t>
            </w:r>
          </w:p>
          <w:p>
            <w:pPr>
              <w:adjustRightInd w:val="0"/>
              <w:snapToGrid w:val="0"/>
              <w:spacing w:line="500" w:lineRule="exact"/>
              <w:ind w:firstLine="480" w:firstLineChars="200"/>
              <w:rPr>
                <w:rFonts w:ascii="Times New Roman" w:hAnsi="Times New Roman" w:eastAsia="仿宋_GB2312"/>
                <w:color w:val="000000"/>
                <w:kern w:val="0"/>
                <w:sz w:val="24"/>
                <w:szCs w:val="24"/>
              </w:rPr>
            </w:pPr>
            <w:r>
              <w:rPr>
                <w:rFonts w:ascii="Times New Roman" w:hAnsi="Times New Roman" w:eastAsia="仿宋_GB2312"/>
                <w:color w:val="000000"/>
                <w:kern w:val="0"/>
                <w:sz w:val="24"/>
              </w:rPr>
              <w:t>综上所述，</w:t>
            </w:r>
            <w:r>
              <w:rPr>
                <w:rFonts w:ascii="Times New Roman" w:hAnsi="Times New Roman" w:eastAsia="仿宋_GB2312"/>
                <w:color w:val="000000"/>
                <w:sz w:val="24"/>
                <w:szCs w:val="24"/>
              </w:rPr>
              <w:t>项目排放的VOC</w:t>
            </w:r>
            <w:r>
              <w:rPr>
                <w:rFonts w:ascii="Times New Roman" w:hAnsi="Times New Roman" w:eastAsia="仿宋_GB2312"/>
                <w:color w:val="000000"/>
                <w:sz w:val="24"/>
                <w:szCs w:val="24"/>
                <w:vertAlign w:val="subscript"/>
              </w:rPr>
              <w:t>S</w:t>
            </w:r>
            <w:r>
              <w:rPr>
                <w:rFonts w:ascii="Times New Roman" w:hAnsi="Times New Roman" w:eastAsia="仿宋_GB2312"/>
                <w:color w:val="000000"/>
                <w:sz w:val="24"/>
                <w:szCs w:val="24"/>
              </w:rPr>
              <w:t>可达天津市《工业企业挥发性有机物排放控制标准》（DB12/524-2014）表2中其他行业标准及表5中标准，氯化氢、氮氧化物、硫酸雾、氟化物可满足《大气污染物综合排放标准》（GB 16297-1996）表2中二级标准。</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rPr>
              <w:t>项目P</w:t>
            </w:r>
            <w:r>
              <w:rPr>
                <w:rFonts w:ascii="Times New Roman" w:hAnsi="Times New Roman" w:eastAsia="仿宋_GB2312"/>
                <w:color w:val="000000"/>
                <w:sz w:val="24"/>
                <w:vertAlign w:val="subscript"/>
              </w:rPr>
              <w:t>max</w:t>
            </w:r>
            <w:r>
              <w:rPr>
                <w:rFonts w:ascii="Times New Roman" w:hAnsi="Times New Roman" w:eastAsia="仿宋_GB2312"/>
                <w:color w:val="000000"/>
                <w:sz w:val="24"/>
              </w:rPr>
              <w:t>最大值出现为实验室面源</w:t>
            </w:r>
            <w:r>
              <w:rPr>
                <w:rFonts w:hint="eastAsia" w:ascii="Times New Roman" w:hAnsi="Times New Roman" w:eastAsia="仿宋_GB2312"/>
                <w:color w:val="000000"/>
                <w:sz w:val="24"/>
              </w:rPr>
              <w:t>氯化氢</w:t>
            </w:r>
            <w:r>
              <w:rPr>
                <w:rFonts w:ascii="Times New Roman" w:hAnsi="Times New Roman" w:eastAsia="仿宋_GB2312"/>
                <w:color w:val="000000"/>
                <w:sz w:val="24"/>
              </w:rPr>
              <w:t>，P</w:t>
            </w:r>
            <w:r>
              <w:rPr>
                <w:rFonts w:ascii="Times New Roman" w:hAnsi="Times New Roman" w:eastAsia="仿宋_GB2312"/>
                <w:color w:val="000000"/>
                <w:sz w:val="24"/>
                <w:vertAlign w:val="subscript"/>
              </w:rPr>
              <w:t>max</w:t>
            </w:r>
            <w:r>
              <w:rPr>
                <w:rFonts w:ascii="Times New Roman" w:hAnsi="Times New Roman" w:eastAsia="仿宋_GB2312"/>
                <w:color w:val="000000"/>
                <w:sz w:val="24"/>
              </w:rPr>
              <w:t>值为0.35%，</w:t>
            </w:r>
            <w:r>
              <w:rPr>
                <w:rFonts w:ascii="Times New Roman" w:hAnsi="Times New Roman" w:eastAsia="仿宋_GB2312"/>
                <w:color w:val="000000"/>
                <w:kern w:val="0"/>
                <w:sz w:val="24"/>
                <w:szCs w:val="24"/>
              </w:rPr>
              <w:t>最大浓度占标率远小于100%，</w:t>
            </w:r>
            <w:r>
              <w:rPr>
                <w:rFonts w:ascii="Times New Roman" w:hAnsi="Times New Roman" w:eastAsia="仿宋_GB2312"/>
                <w:color w:val="000000"/>
                <w:sz w:val="24"/>
                <w:szCs w:val="24"/>
              </w:rPr>
              <w:t>对大气环境影响较小。</w:t>
            </w:r>
          </w:p>
          <w:p>
            <w:pPr>
              <w:spacing w:line="400" w:lineRule="exact"/>
              <w:ind w:firstLine="480" w:firstLineChars="200"/>
              <w:rPr>
                <w:rFonts w:ascii="Times New Roman" w:hAnsi="Times New Roman" w:eastAsia="仿宋_GB2312"/>
                <w:sz w:val="24"/>
              </w:rPr>
            </w:pPr>
            <w:r>
              <w:rPr>
                <w:rFonts w:ascii="Times New Roman" w:hAnsi="Times New Roman" w:eastAsia="仿宋_GB2312"/>
                <w:sz w:val="24"/>
              </w:rPr>
              <w:t>本项目大气环境影响评价自查表见表7-9。</w:t>
            </w:r>
          </w:p>
          <w:p>
            <w:pPr>
              <w:spacing w:line="400" w:lineRule="exact"/>
              <w:ind w:firstLine="120" w:firstLineChars="50"/>
              <w:jc w:val="center"/>
              <w:rPr>
                <w:rFonts w:ascii="Times New Roman" w:hAnsi="Times New Roman" w:eastAsia="仿宋_GB2312"/>
                <w:b/>
                <w:bCs/>
                <w:sz w:val="24"/>
              </w:rPr>
            </w:pPr>
          </w:p>
          <w:p>
            <w:pPr>
              <w:spacing w:line="400" w:lineRule="exact"/>
              <w:ind w:firstLine="120" w:firstLineChars="50"/>
              <w:jc w:val="center"/>
              <w:rPr>
                <w:rFonts w:ascii="Times New Roman" w:hAnsi="Times New Roman" w:eastAsia="仿宋_GB2312"/>
                <w:b/>
                <w:bCs/>
                <w:sz w:val="24"/>
              </w:rPr>
            </w:pPr>
          </w:p>
          <w:p>
            <w:pPr>
              <w:spacing w:line="400" w:lineRule="exact"/>
              <w:ind w:firstLine="120" w:firstLineChars="50"/>
              <w:jc w:val="center"/>
              <w:rPr>
                <w:rFonts w:ascii="Times New Roman" w:hAnsi="Times New Roman" w:eastAsia="仿宋_GB2312"/>
                <w:b/>
                <w:bCs/>
                <w:sz w:val="24"/>
              </w:rPr>
            </w:pPr>
          </w:p>
          <w:p>
            <w:pPr>
              <w:spacing w:line="400" w:lineRule="exact"/>
              <w:ind w:firstLine="120" w:firstLineChars="50"/>
              <w:jc w:val="center"/>
              <w:rPr>
                <w:rFonts w:ascii="Times New Roman" w:hAnsi="Times New Roman" w:eastAsia="仿宋_GB2312"/>
                <w:b/>
                <w:bCs/>
                <w:sz w:val="24"/>
              </w:rPr>
            </w:pPr>
            <w:r>
              <w:rPr>
                <w:rFonts w:ascii="Times New Roman" w:hAnsi="Times New Roman" w:eastAsia="仿宋_GB2312"/>
                <w:b/>
                <w:bCs/>
                <w:sz w:val="24"/>
              </w:rPr>
              <w:t>表7-9 大气环境影响评价自查表</w:t>
            </w:r>
          </w:p>
          <w:tbl>
            <w:tblPr>
              <w:tblStyle w:val="3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0"/>
              <w:gridCol w:w="1155"/>
              <w:gridCol w:w="1047"/>
              <w:gridCol w:w="744"/>
              <w:gridCol w:w="23"/>
              <w:gridCol w:w="607"/>
              <w:gridCol w:w="862"/>
              <w:gridCol w:w="385"/>
              <w:gridCol w:w="545"/>
              <w:gridCol w:w="1059"/>
              <w:gridCol w:w="865"/>
              <w:gridCol w:w="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950"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工作内容</w:t>
                  </w:r>
                </w:p>
              </w:tc>
              <w:tc>
                <w:tcPr>
                  <w:tcW w:w="4050" w:type="pct"/>
                  <w:gridSpan w:val="10"/>
                  <w:vAlign w:val="center"/>
                </w:tcPr>
                <w:p>
                  <w:pPr>
                    <w:jc w:val="center"/>
                    <w:rPr>
                      <w:rFonts w:ascii="Times New Roman" w:hAnsi="Times New Roman" w:eastAsia="仿宋_GB2312"/>
                      <w:szCs w:val="21"/>
                    </w:rPr>
                  </w:pPr>
                  <w:r>
                    <w:rPr>
                      <w:rFonts w:ascii="Times New Roman" w:hAnsi="Times New Roman" w:eastAsia="仿宋_GB2312"/>
                      <w:szCs w:val="21"/>
                    </w:rPr>
                    <w:t>自查项目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评价等级与范围</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评价等级</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一级□</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二级□</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评价范围</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边长=50km□</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边长=5~50km□</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边长=5km√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评价因子</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SO</w:t>
                  </w:r>
                  <w:r>
                    <w:rPr>
                      <w:rFonts w:ascii="Times New Roman" w:hAnsi="Times New Roman" w:eastAsia="仿宋_GB2312"/>
                      <w:szCs w:val="21"/>
                      <w:vertAlign w:val="subscript"/>
                    </w:rPr>
                    <w:t>2</w:t>
                  </w:r>
                  <w:r>
                    <w:rPr>
                      <w:rFonts w:ascii="Times New Roman" w:hAnsi="Times New Roman" w:eastAsia="仿宋_GB2312"/>
                      <w:szCs w:val="21"/>
                    </w:rPr>
                    <w:t>+NOx排放量</w:t>
                  </w:r>
                </w:p>
              </w:tc>
              <w:tc>
                <w:tcPr>
                  <w:tcW w:w="1078"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≥2000t/a□</w:t>
                  </w:r>
                </w:p>
              </w:tc>
              <w:tc>
                <w:tcPr>
                  <w:tcW w:w="1548"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500~2000t/a□</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&lt;500t/a√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评价因子</w:t>
                  </w:r>
                </w:p>
              </w:tc>
              <w:tc>
                <w:tcPr>
                  <w:tcW w:w="4050" w:type="pct"/>
                  <w:gridSpan w:val="10"/>
                  <w:vAlign w:val="center"/>
                </w:tcPr>
                <w:p>
                  <w:pPr>
                    <w:jc w:val="center"/>
                    <w:rPr>
                      <w:rFonts w:ascii="Times New Roman" w:hAnsi="Times New Roman" w:eastAsia="仿宋_GB2312"/>
                      <w:szCs w:val="21"/>
                    </w:rPr>
                  </w:pPr>
                  <w:r>
                    <w:rPr>
                      <w:rFonts w:ascii="Times New Roman" w:hAnsi="Times New Roman" w:eastAsia="仿宋_GB2312"/>
                      <w:szCs w:val="21"/>
                    </w:rPr>
                    <w:t>基本污染物（NOx），其他污染物（氯化氢、硫酸雾、VOCs、氟化物）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Align w:val="center"/>
                </w:tcPr>
                <w:p>
                  <w:pPr>
                    <w:jc w:val="center"/>
                    <w:rPr>
                      <w:rFonts w:ascii="Times New Roman" w:hAnsi="Times New Roman" w:eastAsia="仿宋_GB2312"/>
                      <w:szCs w:val="21"/>
                    </w:rPr>
                  </w:pPr>
                  <w:r>
                    <w:rPr>
                      <w:rFonts w:ascii="Times New Roman" w:hAnsi="Times New Roman" w:eastAsia="仿宋_GB2312"/>
                      <w:szCs w:val="21"/>
                    </w:rPr>
                    <w:t>评价标准</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评价标准</w:t>
                  </w:r>
                </w:p>
              </w:tc>
              <w:tc>
                <w:tcPr>
                  <w:tcW w:w="1500" w:type="pct"/>
                  <w:gridSpan w:val="4"/>
                  <w:vAlign w:val="center"/>
                </w:tcPr>
                <w:p>
                  <w:pPr>
                    <w:jc w:val="center"/>
                    <w:rPr>
                      <w:rFonts w:ascii="Times New Roman" w:hAnsi="Times New Roman" w:eastAsia="仿宋_GB2312"/>
                      <w:szCs w:val="21"/>
                    </w:rPr>
                  </w:pPr>
                  <w:r>
                    <w:rPr>
                      <w:rFonts w:ascii="Times New Roman" w:hAnsi="Times New Roman" w:eastAsia="仿宋_GB2312"/>
                      <w:szCs w:val="21"/>
                    </w:rPr>
                    <w:t>国家标准√</w:t>
                  </w:r>
                </w:p>
              </w:tc>
              <w:tc>
                <w:tcPr>
                  <w:tcW w:w="1126"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地方标准□</w:t>
                  </w:r>
                </w:p>
              </w:tc>
              <w:tc>
                <w:tcPr>
                  <w:tcW w:w="638" w:type="pct"/>
                  <w:vAlign w:val="center"/>
                </w:tcPr>
                <w:p>
                  <w:pPr>
                    <w:jc w:val="center"/>
                    <w:rPr>
                      <w:rFonts w:ascii="Times New Roman" w:hAnsi="Times New Roman" w:eastAsia="仿宋_GB2312"/>
                      <w:szCs w:val="21"/>
                    </w:rPr>
                  </w:pPr>
                  <w:r>
                    <w:rPr>
                      <w:rFonts w:ascii="Times New Roman" w:hAnsi="Times New Roman" w:eastAsia="仿宋_GB2312"/>
                      <w:szCs w:val="21"/>
                    </w:rPr>
                    <w:t>附录D√</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其他标准□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现状评价</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评价功能区</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一类口□</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二类区√</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一类区和二类区□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评价基准年</w:t>
                  </w:r>
                </w:p>
              </w:tc>
              <w:tc>
                <w:tcPr>
                  <w:tcW w:w="4050" w:type="pct"/>
                  <w:gridSpan w:val="10"/>
                  <w:vAlign w:val="center"/>
                </w:tcPr>
                <w:p>
                  <w:pPr>
                    <w:jc w:val="center"/>
                    <w:rPr>
                      <w:rFonts w:ascii="Times New Roman" w:hAnsi="Times New Roman" w:eastAsia="仿宋_GB2312"/>
                      <w:szCs w:val="21"/>
                    </w:rPr>
                  </w:pPr>
                  <w:r>
                    <w:rPr>
                      <w:rFonts w:ascii="Times New Roman" w:hAnsi="Times New Roman" w:eastAsia="仿宋_GB2312"/>
                      <w:szCs w:val="21"/>
                    </w:rPr>
                    <w:t>（2019）年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环境空气质量现状调查数据来源</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长期例行监测数据□</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主管部门发布的数据√</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现状补充监测</w:t>
                  </w:r>
                </w:p>
                <w:p>
                  <w:pPr>
                    <w:jc w:val="center"/>
                    <w:rPr>
                      <w:rFonts w:ascii="Times New Roman" w:hAnsi="Times New Roman" w:eastAsia="仿宋_GB2312"/>
                      <w:szCs w:val="21"/>
                    </w:rPr>
                  </w:pPr>
                  <w:r>
                    <w:rPr>
                      <w:rFonts w:ascii="Times New Roman" w:hAnsi="Times New Roman" w:eastAsia="仿宋_GB2312"/>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现状评价</w:t>
                  </w:r>
                </w:p>
              </w:tc>
              <w:tc>
                <w:tcPr>
                  <w:tcW w:w="2626" w:type="pct"/>
                  <w:gridSpan w:val="7"/>
                  <w:vAlign w:val="center"/>
                </w:tcPr>
                <w:p>
                  <w:pPr>
                    <w:jc w:val="center"/>
                    <w:rPr>
                      <w:rFonts w:ascii="Times New Roman" w:hAnsi="Times New Roman" w:eastAsia="仿宋_GB2312"/>
                      <w:szCs w:val="21"/>
                    </w:rPr>
                  </w:pPr>
                  <w:r>
                    <w:rPr>
                      <w:rFonts w:ascii="Times New Roman" w:hAnsi="Times New Roman" w:eastAsia="仿宋_GB2312"/>
                      <w:szCs w:val="21"/>
                    </w:rPr>
                    <w:t>达标区□</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不达标区√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Align w:val="center"/>
                </w:tcPr>
                <w:p>
                  <w:pPr>
                    <w:jc w:val="center"/>
                    <w:rPr>
                      <w:rFonts w:ascii="Times New Roman" w:hAnsi="Times New Roman" w:eastAsia="仿宋_GB2312"/>
                      <w:szCs w:val="21"/>
                    </w:rPr>
                  </w:pPr>
                  <w:r>
                    <w:rPr>
                      <w:rFonts w:ascii="Times New Roman" w:hAnsi="Times New Roman" w:eastAsia="仿宋_GB2312"/>
                      <w:szCs w:val="21"/>
                    </w:rPr>
                    <w:t>污染源调查</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调查内容</w:t>
                  </w:r>
                </w:p>
              </w:tc>
              <w:tc>
                <w:tcPr>
                  <w:tcW w:w="1500" w:type="pct"/>
                  <w:gridSpan w:val="4"/>
                  <w:vAlign w:val="center"/>
                </w:tcPr>
                <w:p>
                  <w:pPr>
                    <w:jc w:val="center"/>
                    <w:rPr>
                      <w:rFonts w:ascii="Times New Roman" w:hAnsi="Times New Roman" w:eastAsia="仿宋_GB2312"/>
                      <w:szCs w:val="21"/>
                    </w:rPr>
                  </w:pPr>
                  <w:r>
                    <w:rPr>
                      <w:rFonts w:ascii="Times New Roman" w:hAnsi="Times New Roman" w:eastAsia="仿宋_GB2312"/>
                      <w:szCs w:val="21"/>
                    </w:rPr>
                    <w:t>本项目正常排放源√</w:t>
                  </w:r>
                  <w:r>
                    <w:rPr>
                      <w:rFonts w:ascii="Times New Roman" w:hAnsi="Times New Roman" w:eastAsia="仿宋_GB2312"/>
                      <w:szCs w:val="21"/>
                    </w:rPr>
                    <w:br w:type="textWrapping"/>
                  </w:r>
                  <w:r>
                    <w:rPr>
                      <w:rFonts w:ascii="Times New Roman" w:hAnsi="Times New Roman" w:eastAsia="仿宋_GB2312"/>
                      <w:szCs w:val="21"/>
                    </w:rPr>
                    <w:t>本项目非正常排放源□</w:t>
                  </w:r>
                  <w:r>
                    <w:rPr>
                      <w:rFonts w:ascii="Times New Roman" w:hAnsi="Times New Roman" w:eastAsia="仿宋_GB2312"/>
                      <w:szCs w:val="21"/>
                    </w:rPr>
                    <w:br w:type="textWrapping"/>
                  </w:r>
                  <w:r>
                    <w:rPr>
                      <w:rFonts w:ascii="Times New Roman" w:hAnsi="Times New Roman" w:eastAsia="仿宋_GB2312"/>
                      <w:szCs w:val="21"/>
                    </w:rPr>
                    <w:t>现有污染源□</w:t>
                  </w:r>
                </w:p>
              </w:tc>
              <w:tc>
                <w:tcPr>
                  <w:tcW w:w="1126"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拟替代的污染源□</w:t>
                  </w:r>
                </w:p>
              </w:tc>
              <w:tc>
                <w:tcPr>
                  <w:tcW w:w="638" w:type="pct"/>
                  <w:vAlign w:val="center"/>
                </w:tcPr>
                <w:p>
                  <w:pPr>
                    <w:jc w:val="center"/>
                    <w:rPr>
                      <w:rFonts w:ascii="Times New Roman" w:hAnsi="Times New Roman" w:eastAsia="仿宋_GB2312"/>
                      <w:szCs w:val="21"/>
                    </w:rPr>
                  </w:pPr>
                  <w:r>
                    <w:rPr>
                      <w:rFonts w:ascii="Times New Roman" w:hAnsi="Times New Roman" w:eastAsia="仿宋_GB2312"/>
                      <w:szCs w:val="21"/>
                    </w:rPr>
                    <w:t>其他在建、拟建项目污染源□</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区域污染源□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大气环境影响预测与评价</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预测模型</w:t>
                  </w:r>
                </w:p>
              </w:tc>
              <w:tc>
                <w:tcPr>
                  <w:tcW w:w="630" w:type="pct"/>
                  <w:vAlign w:val="center"/>
                </w:tcPr>
                <w:p>
                  <w:pPr>
                    <w:jc w:val="center"/>
                    <w:rPr>
                      <w:rFonts w:ascii="Times New Roman" w:hAnsi="Times New Roman" w:eastAsia="仿宋_GB2312"/>
                      <w:szCs w:val="21"/>
                    </w:rPr>
                  </w:pPr>
                  <w:r>
                    <w:rPr>
                      <w:rFonts w:ascii="Times New Roman" w:hAnsi="Times New Roman" w:eastAsia="仿宋_GB2312"/>
                      <w:szCs w:val="21"/>
                    </w:rPr>
                    <w:t>AERMOD□</w:t>
                  </w:r>
                </w:p>
              </w:tc>
              <w:tc>
                <w:tcPr>
                  <w:tcW w:w="449" w:type="pct"/>
                  <w:vAlign w:val="center"/>
                </w:tcPr>
                <w:p>
                  <w:pPr>
                    <w:jc w:val="center"/>
                    <w:rPr>
                      <w:rFonts w:ascii="Times New Roman" w:hAnsi="Times New Roman" w:eastAsia="仿宋_GB2312"/>
                      <w:szCs w:val="21"/>
                    </w:rPr>
                  </w:pPr>
                  <w:r>
                    <w:rPr>
                      <w:rFonts w:ascii="Times New Roman" w:hAnsi="Times New Roman" w:eastAsia="仿宋_GB2312"/>
                      <w:szCs w:val="21"/>
                    </w:rPr>
                    <w:t>ADMS□</w:t>
                  </w:r>
                </w:p>
              </w:tc>
              <w:tc>
                <w:tcPr>
                  <w:tcW w:w="956"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AUSTAL2000□</w:t>
                  </w:r>
                </w:p>
              </w:tc>
              <w:tc>
                <w:tcPr>
                  <w:tcW w:w="591"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EDMS□</w:t>
                  </w:r>
                </w:p>
                <w:p>
                  <w:pPr>
                    <w:jc w:val="center"/>
                    <w:rPr>
                      <w:rFonts w:ascii="Times New Roman" w:hAnsi="Times New Roman" w:eastAsia="仿宋_GB2312"/>
                      <w:szCs w:val="21"/>
                    </w:rPr>
                  </w:pPr>
                  <w:r>
                    <w:rPr>
                      <w:rFonts w:ascii="Times New Roman" w:hAnsi="Times New Roman" w:eastAsia="仿宋_GB2312"/>
                      <w:szCs w:val="21"/>
                    </w:rPr>
                    <w:t>AEDT□</w:t>
                  </w:r>
                </w:p>
              </w:tc>
              <w:tc>
                <w:tcPr>
                  <w:tcW w:w="638" w:type="pct"/>
                  <w:vAlign w:val="center"/>
                </w:tcPr>
                <w:p>
                  <w:pPr>
                    <w:jc w:val="center"/>
                    <w:rPr>
                      <w:rFonts w:ascii="Times New Roman" w:hAnsi="Times New Roman" w:eastAsia="仿宋_GB2312"/>
                      <w:szCs w:val="21"/>
                    </w:rPr>
                  </w:pPr>
                  <w:r>
                    <w:rPr>
                      <w:rFonts w:ascii="Times New Roman" w:hAnsi="Times New Roman" w:eastAsia="仿宋_GB2312"/>
                      <w:szCs w:val="21"/>
                    </w:rPr>
                    <w:t>CALPUFF□</w:t>
                  </w:r>
                </w:p>
              </w:tc>
              <w:tc>
                <w:tcPr>
                  <w:tcW w:w="449" w:type="pct"/>
                  <w:vAlign w:val="center"/>
                </w:tcPr>
                <w:p>
                  <w:pPr>
                    <w:jc w:val="center"/>
                    <w:rPr>
                      <w:rFonts w:ascii="Times New Roman" w:hAnsi="Times New Roman" w:eastAsia="仿宋_GB2312"/>
                      <w:szCs w:val="21"/>
                    </w:rPr>
                  </w:pPr>
                  <w:r>
                    <w:rPr>
                      <w:rFonts w:ascii="Times New Roman" w:hAnsi="Times New Roman" w:eastAsia="仿宋_GB2312"/>
                      <w:szCs w:val="21"/>
                    </w:rPr>
                    <w:t>网格模型□</w:t>
                  </w:r>
                </w:p>
              </w:tc>
              <w:tc>
                <w:tcPr>
                  <w:tcW w:w="337" w:type="pct"/>
                  <w:vAlign w:val="center"/>
                </w:tcPr>
                <w:p>
                  <w:pPr>
                    <w:jc w:val="center"/>
                    <w:rPr>
                      <w:rFonts w:ascii="Times New Roman" w:hAnsi="Times New Roman" w:eastAsia="仿宋_GB2312"/>
                      <w:szCs w:val="21"/>
                    </w:rPr>
                  </w:pPr>
                  <w:r>
                    <w:rPr>
                      <w:rFonts w:ascii="Times New Roman" w:hAnsi="Times New Roman" w:eastAsia="仿宋_GB2312"/>
                      <w:szCs w:val="21"/>
                    </w:rPr>
                    <w:t>其他□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预测范围</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边长≥50km□</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边长5~50km□</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边长=5km□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预测因子</w:t>
                  </w:r>
                </w:p>
              </w:tc>
              <w:tc>
                <w:tcPr>
                  <w:tcW w:w="2626" w:type="pct"/>
                  <w:gridSpan w:val="7"/>
                  <w:vAlign w:val="center"/>
                </w:tcPr>
                <w:p>
                  <w:pPr>
                    <w:jc w:val="center"/>
                    <w:rPr>
                      <w:rFonts w:ascii="Times New Roman" w:hAnsi="Times New Roman" w:eastAsia="仿宋_GB2312"/>
                      <w:szCs w:val="21"/>
                    </w:rPr>
                  </w:pPr>
                  <w:r>
                    <w:rPr>
                      <w:rFonts w:ascii="Times New Roman" w:hAnsi="Times New Roman" w:eastAsia="仿宋_GB2312"/>
                      <w:szCs w:val="21"/>
                    </w:rPr>
                    <w:t>预测因子（）</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包括二次PM</w:t>
                  </w:r>
                  <w:r>
                    <w:rPr>
                      <w:rFonts w:ascii="Times New Roman" w:hAnsi="Times New Roman" w:eastAsia="仿宋_GB2312"/>
                      <w:szCs w:val="21"/>
                      <w:vertAlign w:val="subscript"/>
                    </w:rPr>
                    <w:t>2.5</w:t>
                  </w:r>
                  <w:r>
                    <w:rPr>
                      <w:rFonts w:ascii="Times New Roman" w:hAnsi="Times New Roman" w:eastAsia="仿宋_GB2312"/>
                      <w:szCs w:val="21"/>
                    </w:rPr>
                    <w:t>□</w:t>
                  </w:r>
                  <w:r>
                    <w:rPr>
                      <w:rFonts w:ascii="Times New Roman" w:hAnsi="Times New Roman" w:eastAsia="仿宋_GB2312"/>
                      <w:szCs w:val="21"/>
                    </w:rPr>
                    <w:br w:type="textWrapping"/>
                  </w:r>
                  <w:r>
                    <w:rPr>
                      <w:rFonts w:ascii="Times New Roman" w:hAnsi="Times New Roman" w:eastAsia="仿宋_GB2312"/>
                      <w:szCs w:val="21"/>
                    </w:rPr>
                    <w:t>不包括二次PM</w:t>
                  </w:r>
                  <w:r>
                    <w:rPr>
                      <w:rFonts w:ascii="Times New Roman" w:hAnsi="Times New Roman" w:eastAsia="仿宋_GB2312"/>
                      <w:szCs w:val="21"/>
                      <w:vertAlign w:val="subscript"/>
                    </w:rPr>
                    <w:t>2.5</w:t>
                  </w:r>
                  <w:r>
                    <w:rPr>
                      <w:rFonts w:ascii="Times New Roman" w:hAnsi="Times New Roman" w:eastAsia="仿宋_GB2312"/>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正常排放短期浓度贡献值</w:t>
                  </w:r>
                </w:p>
              </w:tc>
              <w:tc>
                <w:tcPr>
                  <w:tcW w:w="2626" w:type="pct"/>
                  <w:gridSpan w:val="7"/>
                  <w:vAlign w:val="center"/>
                </w:tcPr>
                <w:p>
                  <w:pPr>
                    <w:jc w:val="center"/>
                    <w:rPr>
                      <w:rFonts w:ascii="Times New Roman" w:hAnsi="Times New Roman" w:eastAsia="仿宋_GB2312"/>
                      <w:szCs w:val="21"/>
                    </w:rPr>
                  </w:pPr>
                  <w:r>
                    <w:rPr>
                      <w:rFonts w:ascii="Times New Roman" w:hAnsi="Times New Roman" w:eastAsia="仿宋_GB2312"/>
                      <w:szCs w:val="21"/>
                    </w:rPr>
                    <w:t>C本项目最大占标率≤100%□</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C本项目最大占标率&gt;100%□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正常排放年均浓度贡献值</w:t>
                  </w:r>
                </w:p>
              </w:tc>
              <w:tc>
                <w:tcPr>
                  <w:tcW w:w="1078"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一类区</w:t>
                  </w:r>
                </w:p>
              </w:tc>
              <w:tc>
                <w:tcPr>
                  <w:tcW w:w="1548"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C</w:t>
                  </w:r>
                  <w:r>
                    <w:rPr>
                      <w:rFonts w:ascii="Times New Roman" w:hAnsi="Times New Roman" w:eastAsia="仿宋_GB2312"/>
                      <w:szCs w:val="21"/>
                      <w:vertAlign w:val="subscript"/>
                    </w:rPr>
                    <w:t>本项目</w:t>
                  </w:r>
                  <w:r>
                    <w:rPr>
                      <w:rFonts w:ascii="Times New Roman" w:hAnsi="Times New Roman" w:eastAsia="仿宋_GB2312"/>
                      <w:szCs w:val="21"/>
                    </w:rPr>
                    <w:t>最大占标率≤10%□</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C</w:t>
                  </w:r>
                  <w:r>
                    <w:rPr>
                      <w:rFonts w:ascii="Times New Roman" w:hAnsi="Times New Roman" w:eastAsia="仿宋_GB2312"/>
                      <w:szCs w:val="21"/>
                      <w:vertAlign w:val="subscript"/>
                    </w:rPr>
                    <w:t>本项目</w:t>
                  </w:r>
                  <w:r>
                    <w:rPr>
                      <w:rFonts w:ascii="Times New Roman" w:hAnsi="Times New Roman" w:eastAsia="仿宋_GB2312"/>
                      <w:szCs w:val="21"/>
                    </w:rPr>
                    <w:t>最大占标率&gt;10%□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Merge w:val="continue"/>
                  <w:vAlign w:val="center"/>
                </w:tcPr>
                <w:p>
                  <w:pPr>
                    <w:jc w:val="center"/>
                    <w:rPr>
                      <w:rFonts w:ascii="Times New Roman" w:hAnsi="Times New Roman" w:eastAsia="仿宋_GB2312"/>
                      <w:szCs w:val="21"/>
                    </w:rPr>
                  </w:pPr>
                </w:p>
              </w:tc>
              <w:tc>
                <w:tcPr>
                  <w:tcW w:w="1078"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二类区</w:t>
                  </w:r>
                </w:p>
              </w:tc>
              <w:tc>
                <w:tcPr>
                  <w:tcW w:w="1548"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C</w:t>
                  </w:r>
                  <w:r>
                    <w:rPr>
                      <w:rFonts w:ascii="Times New Roman" w:hAnsi="Times New Roman" w:eastAsia="仿宋_GB2312"/>
                      <w:szCs w:val="21"/>
                      <w:vertAlign w:val="subscript"/>
                    </w:rPr>
                    <w:t>本项目</w:t>
                  </w:r>
                  <w:r>
                    <w:rPr>
                      <w:rFonts w:ascii="Times New Roman" w:hAnsi="Times New Roman" w:eastAsia="仿宋_GB2312"/>
                      <w:szCs w:val="21"/>
                    </w:rPr>
                    <w:t>最大占标率≤30%□</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C</w:t>
                  </w:r>
                  <w:r>
                    <w:rPr>
                      <w:rFonts w:ascii="Times New Roman" w:hAnsi="Times New Roman" w:eastAsia="仿宋_GB2312"/>
                      <w:szCs w:val="21"/>
                      <w:vertAlign w:val="subscript"/>
                    </w:rPr>
                    <w:t>本项目</w:t>
                  </w:r>
                  <w:r>
                    <w:rPr>
                      <w:rFonts w:ascii="Times New Roman" w:hAnsi="Times New Roman" w:eastAsia="仿宋_GB2312"/>
                      <w:szCs w:val="21"/>
                    </w:rPr>
                    <w:t>最大占标率&gt;30%□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非正常1h浓度贡献值</w:t>
                  </w:r>
                </w:p>
              </w:tc>
              <w:tc>
                <w:tcPr>
                  <w:tcW w:w="1500" w:type="pct"/>
                  <w:gridSpan w:val="4"/>
                  <w:vAlign w:val="center"/>
                </w:tcPr>
                <w:p>
                  <w:pPr>
                    <w:jc w:val="center"/>
                    <w:rPr>
                      <w:rFonts w:ascii="Times New Roman" w:hAnsi="Times New Roman" w:eastAsia="仿宋_GB2312"/>
                      <w:szCs w:val="21"/>
                    </w:rPr>
                  </w:pPr>
                  <w:r>
                    <w:rPr>
                      <w:rFonts w:ascii="Times New Roman" w:hAnsi="Times New Roman" w:eastAsia="仿宋_GB2312"/>
                      <w:szCs w:val="21"/>
                    </w:rPr>
                    <w:t>非正常持续时长</w:t>
                  </w:r>
                  <w:r>
                    <w:rPr>
                      <w:rFonts w:ascii="Times New Roman" w:hAnsi="Times New Roman" w:eastAsia="仿宋_GB2312"/>
                      <w:szCs w:val="21"/>
                    </w:rPr>
                    <w:br w:type="textWrapping"/>
                  </w:r>
                  <w:r>
                    <w:rPr>
                      <w:rFonts w:ascii="Times New Roman" w:hAnsi="Times New Roman" w:eastAsia="仿宋_GB2312"/>
                      <w:szCs w:val="21"/>
                    </w:rPr>
                    <w:t>（0.5）h</w:t>
                  </w:r>
                </w:p>
              </w:tc>
              <w:tc>
                <w:tcPr>
                  <w:tcW w:w="1126"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C</w:t>
                  </w:r>
                  <w:r>
                    <w:rPr>
                      <w:rFonts w:ascii="Times New Roman" w:hAnsi="Times New Roman" w:eastAsia="仿宋_GB2312"/>
                      <w:szCs w:val="21"/>
                      <w:vertAlign w:val="subscript"/>
                    </w:rPr>
                    <w:t>非正常</w:t>
                  </w:r>
                  <w:r>
                    <w:rPr>
                      <w:rFonts w:ascii="Times New Roman" w:hAnsi="Times New Roman" w:eastAsia="仿宋_GB2312"/>
                      <w:szCs w:val="21"/>
                    </w:rPr>
                    <w:t>占标率≤100%□</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C</w:t>
                  </w:r>
                  <w:r>
                    <w:rPr>
                      <w:rFonts w:ascii="Times New Roman" w:hAnsi="Times New Roman" w:eastAsia="仿宋_GB2312"/>
                      <w:szCs w:val="21"/>
                      <w:vertAlign w:val="subscript"/>
                    </w:rPr>
                    <w:t>非正常</w:t>
                  </w:r>
                  <w:r>
                    <w:rPr>
                      <w:rFonts w:ascii="Times New Roman" w:hAnsi="Times New Roman" w:eastAsia="仿宋_GB2312"/>
                      <w:szCs w:val="21"/>
                    </w:rPr>
                    <w:t>占标率&gt;100%□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保证率日平均浓度和年平均浓度叠加值</w:t>
                  </w:r>
                </w:p>
              </w:tc>
              <w:tc>
                <w:tcPr>
                  <w:tcW w:w="2626" w:type="pct"/>
                  <w:gridSpan w:val="7"/>
                  <w:vAlign w:val="center"/>
                </w:tcPr>
                <w:p>
                  <w:pPr>
                    <w:jc w:val="center"/>
                    <w:rPr>
                      <w:rFonts w:ascii="Times New Roman" w:hAnsi="Times New Roman" w:eastAsia="仿宋_GB2312"/>
                      <w:szCs w:val="21"/>
                    </w:rPr>
                  </w:pPr>
                  <w:r>
                    <w:rPr>
                      <w:rFonts w:ascii="Times New Roman" w:hAnsi="Times New Roman" w:eastAsia="仿宋_GB2312"/>
                      <w:szCs w:val="21"/>
                    </w:rPr>
                    <w:t>C叠加达标□</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C叠加不达标□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区域环境质量的整体变化情况</w:t>
                  </w:r>
                </w:p>
              </w:tc>
              <w:tc>
                <w:tcPr>
                  <w:tcW w:w="2626" w:type="pct"/>
                  <w:gridSpan w:val="7"/>
                  <w:vAlign w:val="center"/>
                </w:tcPr>
                <w:p>
                  <w:pPr>
                    <w:jc w:val="center"/>
                    <w:rPr>
                      <w:rFonts w:ascii="Times New Roman" w:hAnsi="Times New Roman" w:eastAsia="仿宋_GB2312"/>
                      <w:szCs w:val="21"/>
                    </w:rPr>
                  </w:pPr>
                  <w:r>
                    <w:rPr>
                      <w:rFonts w:ascii="Times New Roman" w:hAnsi="Times New Roman" w:eastAsia="仿宋_GB2312"/>
                      <w:szCs w:val="21"/>
                    </w:rPr>
                    <w:t>k≤-20%□</w:t>
                  </w:r>
                </w:p>
              </w:tc>
              <w:tc>
                <w:tcPr>
                  <w:tcW w:w="1424"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k&gt;-20%□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环境监测计划</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污染源监测</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监测因子：（VOCs、氯化氢、硫酸雾</w:t>
                  </w:r>
                  <w:r>
                    <w:rPr>
                      <w:rFonts w:hint="eastAsia" w:ascii="Times New Roman" w:hAnsi="Times New Roman" w:eastAsia="仿宋_GB2312"/>
                      <w:szCs w:val="21"/>
                    </w:rPr>
                    <w:t>、氟化物、氮氧化物</w:t>
                  </w:r>
                  <w:r>
                    <w:rPr>
                      <w:rFonts w:ascii="Times New Roman" w:hAnsi="Times New Roman" w:eastAsia="仿宋_GB2312"/>
                      <w:szCs w:val="21"/>
                    </w:rPr>
                    <w:t>）</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有组织废气监测√</w:t>
                  </w:r>
                  <w:r>
                    <w:rPr>
                      <w:rFonts w:ascii="Times New Roman" w:hAnsi="Times New Roman" w:eastAsia="仿宋_GB2312"/>
                      <w:szCs w:val="21"/>
                    </w:rPr>
                    <w:br w:type="textWrapping"/>
                  </w:r>
                  <w:r>
                    <w:rPr>
                      <w:rFonts w:ascii="Times New Roman" w:hAnsi="Times New Roman" w:eastAsia="仿宋_GB2312"/>
                      <w:szCs w:val="21"/>
                    </w:rPr>
                    <w:t>无组织废气监测√</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无监测□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环境质量监测</w:t>
                  </w:r>
                </w:p>
              </w:tc>
              <w:tc>
                <w:tcPr>
                  <w:tcW w:w="2035" w:type="pct"/>
                  <w:gridSpan w:val="5"/>
                  <w:vAlign w:val="center"/>
                </w:tcPr>
                <w:p>
                  <w:pPr>
                    <w:jc w:val="center"/>
                    <w:rPr>
                      <w:rFonts w:ascii="Times New Roman" w:hAnsi="Times New Roman" w:eastAsia="仿宋_GB2312"/>
                      <w:szCs w:val="21"/>
                    </w:rPr>
                  </w:pPr>
                  <w:r>
                    <w:rPr>
                      <w:rFonts w:ascii="Times New Roman" w:hAnsi="Times New Roman" w:eastAsia="仿宋_GB2312"/>
                      <w:szCs w:val="21"/>
                    </w:rPr>
                    <w:t>监测因子：（）</w:t>
                  </w:r>
                </w:p>
              </w:tc>
              <w:tc>
                <w:tcPr>
                  <w:tcW w:w="1229"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监测点位数（）</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无监测√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restart"/>
                  <w:vAlign w:val="center"/>
                </w:tcPr>
                <w:p>
                  <w:pPr>
                    <w:jc w:val="center"/>
                    <w:rPr>
                      <w:rFonts w:ascii="Times New Roman" w:hAnsi="Times New Roman" w:eastAsia="仿宋_GB2312"/>
                      <w:szCs w:val="21"/>
                    </w:rPr>
                  </w:pPr>
                  <w:r>
                    <w:rPr>
                      <w:rFonts w:ascii="Times New Roman" w:hAnsi="Times New Roman" w:eastAsia="仿宋_GB2312"/>
                      <w:szCs w:val="21"/>
                    </w:rPr>
                    <w:t>评价结论</w:t>
                  </w: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环境影响</w:t>
                  </w:r>
                </w:p>
              </w:tc>
              <w:tc>
                <w:tcPr>
                  <w:tcW w:w="4050" w:type="pct"/>
                  <w:gridSpan w:val="10"/>
                  <w:vAlign w:val="center"/>
                </w:tcPr>
                <w:p>
                  <w:pPr>
                    <w:jc w:val="center"/>
                    <w:rPr>
                      <w:rFonts w:ascii="Times New Roman" w:hAnsi="Times New Roman" w:eastAsia="仿宋_GB2312"/>
                      <w:szCs w:val="21"/>
                    </w:rPr>
                  </w:pPr>
                  <w:r>
                    <w:rPr>
                      <w:rFonts w:ascii="Times New Roman" w:hAnsi="Times New Roman" w:eastAsia="仿宋_GB2312"/>
                      <w:szCs w:val="21"/>
                    </w:rPr>
                    <w:t>可以接受 √             不可以接受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大气环境防护距离</w:t>
                  </w:r>
                </w:p>
              </w:tc>
              <w:tc>
                <w:tcPr>
                  <w:tcW w:w="4050" w:type="pct"/>
                  <w:gridSpan w:val="10"/>
                  <w:vAlign w:val="center"/>
                </w:tcPr>
                <w:p>
                  <w:pPr>
                    <w:jc w:val="center"/>
                    <w:rPr>
                      <w:rFonts w:ascii="Times New Roman" w:hAnsi="Times New Roman" w:eastAsia="仿宋_GB2312"/>
                      <w:szCs w:val="21"/>
                    </w:rPr>
                  </w:pPr>
                  <w:r>
                    <w:rPr>
                      <w:rFonts w:ascii="Times New Roman" w:hAnsi="Times New Roman" w:eastAsia="仿宋_GB2312"/>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39" w:type="pct"/>
                  <w:vMerge w:val="continue"/>
                  <w:vAlign w:val="center"/>
                </w:tcPr>
                <w:p>
                  <w:pPr>
                    <w:jc w:val="center"/>
                    <w:rPr>
                      <w:rFonts w:ascii="Times New Roman" w:hAnsi="Times New Roman" w:eastAsia="仿宋_GB2312"/>
                      <w:szCs w:val="21"/>
                    </w:rPr>
                  </w:pPr>
                </w:p>
              </w:tc>
              <w:tc>
                <w:tcPr>
                  <w:tcW w:w="710" w:type="pct"/>
                  <w:vAlign w:val="center"/>
                </w:tcPr>
                <w:p>
                  <w:pPr>
                    <w:jc w:val="center"/>
                    <w:rPr>
                      <w:rFonts w:ascii="Times New Roman" w:hAnsi="Times New Roman" w:eastAsia="仿宋_GB2312"/>
                      <w:szCs w:val="21"/>
                    </w:rPr>
                  </w:pPr>
                  <w:r>
                    <w:rPr>
                      <w:rFonts w:ascii="Times New Roman" w:hAnsi="Times New Roman" w:eastAsia="仿宋_GB2312"/>
                      <w:szCs w:val="21"/>
                    </w:rPr>
                    <w:t>污染源年排放量</w:t>
                  </w:r>
                </w:p>
              </w:tc>
              <w:tc>
                <w:tcPr>
                  <w:tcW w:w="1095"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SO</w:t>
                  </w:r>
                  <w:r>
                    <w:rPr>
                      <w:rFonts w:ascii="Times New Roman" w:hAnsi="Times New Roman" w:eastAsia="仿宋_GB2312"/>
                      <w:szCs w:val="21"/>
                      <w:vertAlign w:val="subscript"/>
                    </w:rPr>
                    <w:t>2</w:t>
                  </w:r>
                  <w:r>
                    <w:rPr>
                      <w:rFonts w:ascii="Times New Roman" w:hAnsi="Times New Roman" w:eastAsia="仿宋_GB2312"/>
                      <w:szCs w:val="21"/>
                    </w:rPr>
                    <w:t>:(/)t/a</w:t>
                  </w:r>
                </w:p>
              </w:tc>
              <w:tc>
                <w:tcPr>
                  <w:tcW w:w="1188" w:type="pct"/>
                  <w:gridSpan w:val="3"/>
                  <w:vAlign w:val="center"/>
                </w:tcPr>
                <w:p>
                  <w:pPr>
                    <w:jc w:val="center"/>
                    <w:rPr>
                      <w:rFonts w:ascii="Times New Roman" w:hAnsi="Times New Roman" w:eastAsia="仿宋_GB2312"/>
                      <w:szCs w:val="21"/>
                    </w:rPr>
                  </w:pPr>
                  <w:r>
                    <w:rPr>
                      <w:rFonts w:ascii="Times New Roman" w:hAnsi="Times New Roman" w:eastAsia="仿宋_GB2312"/>
                      <w:szCs w:val="21"/>
                    </w:rPr>
                    <w:t>NOx:(0.000345)</w:t>
                  </w:r>
                  <w:r>
                    <w:rPr>
                      <w:rFonts w:hint="eastAsia" w:ascii="Times New Roman" w:hAnsi="Times New Roman" w:eastAsia="仿宋_GB2312"/>
                      <w:szCs w:val="21"/>
                    </w:rPr>
                    <w:t>t</w:t>
                  </w:r>
                  <w:r>
                    <w:rPr>
                      <w:rFonts w:ascii="Times New Roman" w:hAnsi="Times New Roman" w:eastAsia="仿宋_GB2312"/>
                      <w:szCs w:val="21"/>
                    </w:rPr>
                    <w:t>/a</w:t>
                  </w:r>
                </w:p>
              </w:tc>
              <w:tc>
                <w:tcPr>
                  <w:tcW w:w="981"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颗粒物:(/)t/a</w:t>
                  </w:r>
                </w:p>
              </w:tc>
              <w:tc>
                <w:tcPr>
                  <w:tcW w:w="787" w:type="pct"/>
                  <w:gridSpan w:val="2"/>
                  <w:vAlign w:val="center"/>
                </w:tcPr>
                <w:p>
                  <w:pPr>
                    <w:jc w:val="center"/>
                    <w:rPr>
                      <w:rFonts w:ascii="Times New Roman" w:hAnsi="Times New Roman" w:eastAsia="仿宋_GB2312"/>
                      <w:szCs w:val="21"/>
                    </w:rPr>
                  </w:pPr>
                  <w:r>
                    <w:rPr>
                      <w:rFonts w:ascii="Times New Roman" w:hAnsi="Times New Roman" w:eastAsia="仿宋_GB2312"/>
                      <w:szCs w:val="21"/>
                    </w:rPr>
                    <w:t>VOCs:(0.0431)t/a</w:t>
                  </w:r>
                </w:p>
              </w:tc>
            </w:tr>
          </w:tbl>
          <w:p>
            <w:pPr>
              <w:adjustRightInd w:val="0"/>
              <w:snapToGrid w:val="0"/>
              <w:spacing w:line="480" w:lineRule="exact"/>
              <w:ind w:firstLine="480" w:firstLineChars="200"/>
              <w:rPr>
                <w:rFonts w:ascii="Times New Roman" w:hAnsi="Times New Roman" w:eastAsia="仿宋_GB2312"/>
                <w:bCs/>
                <w:color w:val="000000"/>
                <w:sz w:val="24"/>
                <w:szCs w:val="24"/>
              </w:rPr>
            </w:pPr>
            <w:r>
              <w:rPr>
                <w:rFonts w:ascii="Times New Roman" w:hAnsi="Times New Roman" w:eastAsia="仿宋_GB2312"/>
                <w:bCs/>
                <w:color w:val="000000"/>
                <w:sz w:val="24"/>
                <w:szCs w:val="24"/>
              </w:rPr>
              <w:t>（2）</w:t>
            </w:r>
            <w:r>
              <w:rPr>
                <w:rFonts w:hint="eastAsia" w:ascii="Times New Roman" w:hAnsi="Times New Roman" w:eastAsia="仿宋_GB2312"/>
                <w:bCs/>
                <w:color w:val="000000"/>
                <w:sz w:val="24"/>
                <w:szCs w:val="24"/>
              </w:rPr>
              <w:t>地表</w:t>
            </w:r>
            <w:r>
              <w:rPr>
                <w:rFonts w:ascii="Times New Roman" w:hAnsi="Times New Roman" w:eastAsia="仿宋_GB2312"/>
                <w:bCs/>
                <w:color w:val="000000"/>
                <w:sz w:val="24"/>
                <w:szCs w:val="24"/>
              </w:rPr>
              <w:t>水环境影响分析</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1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①</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评价等级判定</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建设项目地表水环境影响评价等级按照影响类型、排放方式、排放量或影响情况、受纳水体环境质量现状、水环境保护目标等综合确定。水污染影响型建设项目根据排放方式和废水排放量划分评价等级，见表7-10。</w:t>
            </w:r>
          </w:p>
          <w:p>
            <w:pPr>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rPr>
              <w:t>表7-10 水污染影响型建设项目评价等级判定</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949"/>
              <w:gridCol w:w="4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pct"/>
                  <w:vMerge w:val="restart"/>
                  <w:shd w:val="clear" w:color="auto" w:fill="auto"/>
                  <w:vAlign w:val="center"/>
                </w:tcPr>
                <w:p>
                  <w:pPr>
                    <w:jc w:val="center"/>
                    <w:rPr>
                      <w:rFonts w:ascii="Times New Roman" w:hAnsi="Times New Roman" w:eastAsia="仿宋_GB2312"/>
                      <w:b/>
                      <w:bCs/>
                      <w:color w:val="000000"/>
                      <w:szCs w:val="24"/>
                    </w:rPr>
                  </w:pPr>
                  <w:r>
                    <w:rPr>
                      <w:rFonts w:ascii="Times New Roman" w:hAnsi="Times New Roman" w:eastAsia="仿宋_GB2312"/>
                      <w:b/>
                      <w:bCs/>
                      <w:color w:val="000000"/>
                    </w:rPr>
                    <w:t>评价等级</w:t>
                  </w:r>
                </w:p>
              </w:tc>
              <w:tc>
                <w:tcPr>
                  <w:tcW w:w="1172" w:type="pct"/>
                  <w:shd w:val="clear" w:color="auto" w:fill="auto"/>
                  <w:vAlign w:val="center"/>
                </w:tcPr>
                <w:p>
                  <w:pPr>
                    <w:jc w:val="center"/>
                    <w:rPr>
                      <w:rFonts w:ascii="Times New Roman" w:hAnsi="Times New Roman" w:eastAsia="仿宋_GB2312"/>
                      <w:b/>
                      <w:bCs/>
                      <w:color w:val="000000"/>
                    </w:rPr>
                  </w:pPr>
                  <w:r>
                    <w:rPr>
                      <w:rFonts w:ascii="Times New Roman" w:hAnsi="Times New Roman" w:eastAsia="仿宋_GB2312"/>
                      <w:b/>
                      <w:bCs/>
                      <w:color w:val="000000"/>
                    </w:rPr>
                    <w:t>判定依据</w:t>
                  </w:r>
                </w:p>
              </w:tc>
              <w:tc>
                <w:tcPr>
                  <w:tcW w:w="2811" w:type="pct"/>
                  <w:vMerge w:val="restart"/>
                  <w:shd w:val="clear" w:color="auto" w:fill="auto"/>
                  <w:vAlign w:val="center"/>
                </w:tcPr>
                <w:p>
                  <w:pPr>
                    <w:jc w:val="center"/>
                    <w:rPr>
                      <w:rFonts w:ascii="Times New Roman" w:hAnsi="Times New Roman" w:eastAsia="仿宋_GB2312"/>
                      <w:b/>
                      <w:bCs/>
                      <w:color w:val="000000"/>
                    </w:rPr>
                  </w:pPr>
                  <w:r>
                    <w:rPr>
                      <w:rFonts w:ascii="Times New Roman" w:hAnsi="Times New Roman" w:eastAsia="仿宋_GB2312"/>
                      <w:b/>
                      <w:bCs/>
                      <w:color w:val="000000"/>
                    </w:rPr>
                    <w:t>废水排放量Q/（m</w:t>
                  </w:r>
                  <w:r>
                    <w:rPr>
                      <w:rFonts w:ascii="Times New Roman" w:hAnsi="Times New Roman" w:eastAsia="仿宋_GB2312"/>
                      <w:b/>
                      <w:bCs/>
                      <w:color w:val="000000"/>
                      <w:vertAlign w:val="superscript"/>
                    </w:rPr>
                    <w:t>3</w:t>
                  </w:r>
                  <w:r>
                    <w:rPr>
                      <w:rFonts w:ascii="Times New Roman" w:hAnsi="Times New Roman" w:eastAsia="仿宋_GB2312"/>
                      <w:b/>
                      <w:bCs/>
                      <w:color w:val="000000"/>
                    </w:rPr>
                    <w:t>/d）；水污染物当量W/无量纲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pct"/>
                  <w:vMerge w:val="continue"/>
                  <w:shd w:val="clear" w:color="auto" w:fill="auto"/>
                  <w:vAlign w:val="center"/>
                </w:tcPr>
                <w:p>
                  <w:pPr>
                    <w:widowControl/>
                    <w:jc w:val="center"/>
                    <w:rPr>
                      <w:rFonts w:ascii="Times New Roman" w:hAnsi="Times New Roman" w:eastAsia="仿宋_GB2312"/>
                      <w:b/>
                      <w:bCs/>
                      <w:color w:val="000000"/>
                      <w:szCs w:val="24"/>
                    </w:rPr>
                  </w:pPr>
                </w:p>
              </w:tc>
              <w:tc>
                <w:tcPr>
                  <w:tcW w:w="1172" w:type="pct"/>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排放方式</w:t>
                  </w:r>
                </w:p>
              </w:tc>
              <w:tc>
                <w:tcPr>
                  <w:tcW w:w="2811" w:type="pct"/>
                  <w:vMerge w:val="continue"/>
                  <w:shd w:val="clear" w:color="auto" w:fill="auto"/>
                  <w:vAlign w:val="center"/>
                </w:tcPr>
                <w:p>
                  <w:pPr>
                    <w:widowControl/>
                    <w:jc w:val="center"/>
                    <w:rPr>
                      <w:rFonts w:ascii="Times New Roman" w:hAnsi="Times New Roman" w:eastAsia="仿宋_GB2312"/>
                      <w:b/>
                      <w:bCs/>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pct"/>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一级</w:t>
                  </w:r>
                </w:p>
              </w:tc>
              <w:tc>
                <w:tcPr>
                  <w:tcW w:w="1172" w:type="pct"/>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直接排放</w:t>
                  </w:r>
                </w:p>
              </w:tc>
              <w:tc>
                <w:tcPr>
                  <w:tcW w:w="2811" w:type="pct"/>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pct"/>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二级</w:t>
                  </w:r>
                </w:p>
              </w:tc>
              <w:tc>
                <w:tcPr>
                  <w:tcW w:w="1172" w:type="pct"/>
                  <w:shd w:val="clear" w:color="auto" w:fill="auto"/>
                  <w:vAlign w:val="center"/>
                </w:tcPr>
                <w:p>
                  <w:pPr>
                    <w:jc w:val="center"/>
                    <w:rPr>
                      <w:rFonts w:ascii="Times New Roman" w:hAnsi="Times New Roman" w:eastAsia="仿宋_GB2312"/>
                      <w:color w:val="000000"/>
                    </w:rPr>
                  </w:pPr>
                  <w:r>
                    <w:rPr>
                      <w:rFonts w:ascii="Times New Roman" w:hAnsi="Times New Roman" w:eastAsia="仿宋_GB2312"/>
                      <w:bCs/>
                      <w:color w:val="000000"/>
                      <w:szCs w:val="21"/>
                    </w:rPr>
                    <w:t>直接排放</w:t>
                  </w:r>
                </w:p>
              </w:tc>
              <w:tc>
                <w:tcPr>
                  <w:tcW w:w="2811" w:type="pct"/>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三级A</w:t>
                  </w:r>
                </w:p>
              </w:tc>
              <w:tc>
                <w:tcPr>
                  <w:tcW w:w="1172" w:type="pct"/>
                  <w:tcBorders>
                    <w:bottom w:val="single" w:color="auto" w:sz="4" w:space="0"/>
                  </w:tcBorders>
                  <w:shd w:val="clear" w:color="auto" w:fill="auto"/>
                  <w:vAlign w:val="center"/>
                </w:tcPr>
                <w:p>
                  <w:pPr>
                    <w:jc w:val="center"/>
                    <w:rPr>
                      <w:rFonts w:ascii="Times New Roman" w:hAnsi="Times New Roman" w:eastAsia="仿宋_GB2312"/>
                      <w:color w:val="000000"/>
                    </w:rPr>
                  </w:pPr>
                  <w:r>
                    <w:rPr>
                      <w:rFonts w:ascii="Times New Roman" w:hAnsi="Times New Roman" w:eastAsia="仿宋_GB2312"/>
                      <w:bCs/>
                      <w:color w:val="000000"/>
                      <w:szCs w:val="21"/>
                    </w:rPr>
                    <w:t>直接排放</w:t>
                  </w:r>
                </w:p>
              </w:tc>
              <w:tc>
                <w:tcPr>
                  <w:tcW w:w="2811"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rPr>
                    <w:t>Q</w:t>
                  </w:r>
                  <w:r>
                    <w:rPr>
                      <w:rFonts w:ascii="Times New Roman" w:hAnsi="Times New Roman" w:eastAsia="仿宋_GB2312"/>
                      <w:color w:val="000000"/>
                      <w:szCs w:val="21"/>
                    </w:rPr>
                    <w:t>＜</w:t>
                  </w:r>
                  <w:r>
                    <w:rPr>
                      <w:rFonts w:ascii="Times New Roman" w:hAnsi="Times New Roman" w:eastAsia="仿宋_GB2312"/>
                      <w:bCs/>
                      <w:color w:val="000000"/>
                    </w:rPr>
                    <w:t>200且W</w:t>
                  </w:r>
                  <w:r>
                    <w:rPr>
                      <w:rFonts w:ascii="Times New Roman" w:hAnsi="Times New Roman" w:eastAsia="仿宋_GB2312"/>
                      <w:color w:val="000000"/>
                      <w:szCs w:val="21"/>
                    </w:rPr>
                    <w:t>＜</w:t>
                  </w:r>
                  <w:r>
                    <w:rPr>
                      <w:rFonts w:ascii="Times New Roman" w:hAnsi="Times New Roman" w:eastAsia="仿宋_GB2312"/>
                      <w:bCs/>
                      <w:color w:val="000000"/>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pct"/>
                  <w:tcBorders>
                    <w:top w:val="single" w:color="auto" w:sz="4" w:space="0"/>
                    <w:bottom w:val="single" w:color="auto" w:sz="12" w:space="0"/>
                  </w:tcBorders>
                  <w:shd w:val="clear" w:color="auto" w:fill="D9D9D9"/>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三级B</w:t>
                  </w:r>
                </w:p>
              </w:tc>
              <w:tc>
                <w:tcPr>
                  <w:tcW w:w="1172" w:type="pct"/>
                  <w:tcBorders>
                    <w:top w:val="single" w:color="auto" w:sz="4" w:space="0"/>
                    <w:bottom w:val="single" w:color="auto" w:sz="12" w:space="0"/>
                  </w:tcBorders>
                  <w:shd w:val="clear" w:color="auto" w:fill="D9D9D9"/>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间接排放</w:t>
                  </w:r>
                </w:p>
              </w:tc>
              <w:tc>
                <w:tcPr>
                  <w:tcW w:w="2811" w:type="pct"/>
                  <w:tcBorders>
                    <w:top w:val="single" w:color="auto" w:sz="4" w:space="0"/>
                    <w:bottom w:val="single" w:color="auto" w:sz="12" w:space="0"/>
                  </w:tcBorders>
                  <w:shd w:val="clear" w:color="auto" w:fill="D9D9D9"/>
                  <w:vAlign w:val="center"/>
                </w:tcPr>
                <w:p>
                  <w:pPr>
                    <w:adjustRightInd w:val="0"/>
                    <w:snapToGrid w:val="0"/>
                    <w:jc w:val="center"/>
                    <w:rPr>
                      <w:rFonts w:ascii="Times New Roman" w:hAnsi="Times New Roman" w:eastAsia="仿宋_GB2312"/>
                      <w:bCs/>
                      <w:color w:val="000000"/>
                      <w:szCs w:val="21"/>
                    </w:rPr>
                  </w:pPr>
                  <w:r>
                    <w:rPr>
                      <w:rFonts w:ascii="Times New Roman" w:hAnsi="Times New Roman" w:eastAsia="仿宋_GB2312"/>
                      <w:bCs/>
                      <w:color w:val="000000"/>
                      <w:szCs w:val="21"/>
                    </w:rPr>
                    <w:t>—</w:t>
                  </w:r>
                </w:p>
              </w:tc>
            </w:tr>
          </w:tbl>
          <w:p>
            <w:pPr>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本项目废水量共计282.812t/a。反冲洗废水和反渗透浓水、仪器及器皿润洗废水、后两道实验室仪器及器皿清洗废水、循环冷却系统废水以及实验室台面及地面擦洗废水与生活污水一并通过化粪池处理达《污水综合排放标准》（GB 8978-1996）表4中三级标准和《污水排入城市下水道水质标准》（GB/T 31962-2015）表1中B等级标准，接管市政污水管网，排至江心洲污水处理厂处理，尾水最终达《城镇污水处理厂污染物排放标准》（GB 18918-2002）表1中的一级A标准后排入长江南京段。</w:t>
            </w:r>
            <w:r>
              <w:rPr>
                <w:rFonts w:ascii="Times New Roman" w:hAnsi="Times New Roman" w:eastAsia="仿宋_GB2312"/>
                <w:color w:val="000000"/>
                <w:sz w:val="24"/>
                <w:szCs w:val="24"/>
              </w:rPr>
              <w:t>项目废水属于间接排放，根据《环境影响评价技术导则 地表水环境》（HJ2.3-2018），属于水环境影响型三级B，主要评价内容为a.水污染控制和水环境影响减缓措施有效性评价；b.依托污水处理厂的环境可行性评价。</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a、水污染控制和水环境影响减缓措施有效性评价</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项目废水主要为</w:t>
            </w:r>
            <w:r>
              <w:rPr>
                <w:rFonts w:hint="eastAsia" w:ascii="Times New Roman" w:hAnsi="Times New Roman" w:eastAsia="仿宋_GB2312"/>
                <w:color w:val="000000"/>
                <w:sz w:val="24"/>
                <w:szCs w:val="24"/>
              </w:rPr>
              <w:t>生活污水、反冲洗废水和反渗透浓水、仪器及器皿润洗废水、实验室仪器及器皿清洗废水、循环冷却系统废水以及实验室台面及地面擦洗废水</w:t>
            </w:r>
            <w:r>
              <w:rPr>
                <w:rFonts w:ascii="Times New Roman" w:hAnsi="Times New Roman" w:eastAsia="仿宋_GB2312"/>
                <w:color w:val="000000"/>
                <w:sz w:val="24"/>
                <w:szCs w:val="24"/>
              </w:rPr>
              <w:t>。</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本项目</w:t>
            </w:r>
            <w:r>
              <w:rPr>
                <w:rFonts w:hint="eastAsia" w:ascii="Times New Roman" w:hAnsi="Times New Roman" w:eastAsia="仿宋_GB2312"/>
                <w:color w:val="000000"/>
                <w:sz w:val="24"/>
                <w:szCs w:val="24"/>
              </w:rPr>
              <w:t>反冲洗废水和反渗透浓水、仪器及器皿润洗废水、实验室仪器及器皿清洗废水、循环冷却系统废水以及实验室台面及地面擦洗废水</w:t>
            </w:r>
            <w:r>
              <w:rPr>
                <w:rFonts w:ascii="Times New Roman" w:hAnsi="Times New Roman" w:eastAsia="仿宋_GB2312"/>
                <w:color w:val="000000"/>
                <w:sz w:val="24"/>
                <w:szCs w:val="24"/>
              </w:rPr>
              <w:t>和生活污水经预处理后达《污水排入城市下水道水质标准》（GB/T 31962-2015）表1中B等级标准后，混合接管市政污水管网，排至江心洲污水处理厂处理，最终达《城镇污水处理厂污染物排放标准》（GB18918-2002）表1中的一级A标准</w:t>
            </w:r>
            <w:r>
              <w:rPr>
                <w:rFonts w:hint="eastAsia" w:ascii="Times New Roman" w:hAnsi="Times New Roman" w:eastAsia="仿宋_GB2312"/>
                <w:color w:val="000000"/>
                <w:sz w:val="24"/>
                <w:szCs w:val="24"/>
              </w:rPr>
              <w:t>，氟化物达到《污水综合排放标准》（GB 8978-1996）一级标准</w:t>
            </w:r>
            <w:r>
              <w:rPr>
                <w:rFonts w:ascii="Times New Roman" w:hAnsi="Times New Roman" w:eastAsia="仿宋_GB2312"/>
                <w:color w:val="000000"/>
                <w:sz w:val="24"/>
                <w:szCs w:val="24"/>
              </w:rPr>
              <w:t>后排入长江南京段，对环境影响较小</w:t>
            </w:r>
            <w:r>
              <w:rPr>
                <w:rFonts w:hint="eastAsia" w:ascii="Times New Roman" w:hAnsi="Times New Roman" w:eastAsia="仿宋_GB2312"/>
                <w:color w:val="000000"/>
                <w:sz w:val="24"/>
                <w:szCs w:val="24"/>
              </w:rPr>
              <w:t>。</w:t>
            </w:r>
          </w:p>
          <w:p>
            <w:pPr>
              <w:spacing w:line="500" w:lineRule="exact"/>
              <w:ind w:firstLine="480" w:firstLineChars="200"/>
              <w:rPr>
                <w:rFonts w:ascii="Times New Roman" w:hAnsi="Times New Roman" w:eastAsia="仿宋_GB2312"/>
                <w:bCs/>
                <w:color w:val="000000"/>
                <w:kern w:val="0"/>
                <w:sz w:val="24"/>
                <w:szCs w:val="24"/>
              </w:rPr>
            </w:pPr>
            <w:r>
              <w:rPr>
                <w:rFonts w:hint="eastAsia" w:ascii="Times New Roman" w:hAnsi="Times New Roman" w:eastAsia="仿宋_GB2312"/>
                <w:bCs/>
                <w:color w:val="000000"/>
                <w:kern w:val="0"/>
                <w:sz w:val="24"/>
                <w:szCs w:val="24"/>
              </w:rPr>
              <w:t>此外，仪器清洗前两道废水作为危废，但在操作失当的情况下或将废液倒入下水道的情况下，可能会导致污染物排放超标，因此项目需设置手动监测装置，同时废水排放口设置截止阀，一旦超标关闭阀门，杜绝废水外排。</w:t>
            </w:r>
          </w:p>
          <w:p>
            <w:pPr>
              <w:spacing w:line="500" w:lineRule="exact"/>
              <w:ind w:firstLine="480" w:firstLineChars="200"/>
              <w:rPr>
                <w:rFonts w:ascii="Times New Roman" w:hAnsi="Times New Roman" w:eastAsia="仿宋_GB2312"/>
                <w:bCs/>
                <w:color w:val="000000"/>
                <w:kern w:val="0"/>
                <w:sz w:val="24"/>
                <w:szCs w:val="24"/>
              </w:rPr>
            </w:pPr>
            <w:r>
              <w:rPr>
                <w:rFonts w:ascii="Times New Roman" w:hAnsi="Times New Roman" w:eastAsia="仿宋_GB2312"/>
                <w:bCs/>
                <w:color w:val="000000"/>
                <w:kern w:val="0"/>
                <w:sz w:val="24"/>
                <w:szCs w:val="24"/>
              </w:rPr>
              <w:t>b、依托污水处理厂的环境可行性评价</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南京市江心洲污水处理厂位于南京市建邺区江心洲，经过提标升级后由原来的A/O工艺升级为A</w:t>
            </w:r>
            <w:r>
              <w:rPr>
                <w:rFonts w:ascii="Times New Roman" w:hAnsi="Times New Roman" w:eastAsia="仿宋_GB2312"/>
                <w:color w:val="000000"/>
                <w:sz w:val="24"/>
                <w:szCs w:val="24"/>
                <w:vertAlign w:val="superscript"/>
              </w:rPr>
              <w:t>2</w:t>
            </w:r>
            <w:r>
              <w:rPr>
                <w:rFonts w:ascii="Times New Roman" w:hAnsi="Times New Roman" w:eastAsia="仿宋_GB2312"/>
                <w:color w:val="000000"/>
                <w:sz w:val="24"/>
                <w:szCs w:val="24"/>
              </w:rPr>
              <w:t>/O+深床滤池工艺。该工艺成熟稳定，除磷脱氮效率高，且池深，节约占地，采用微孔曝气，氧利用效率高，节约能耗。深床滤池过滤精度高，并具有一定的反硝化功能，提高了出水TN的保证。</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江心洲污水处理厂处理工艺流程图见图7-1。</w:t>
            </w:r>
          </w:p>
          <w:p>
            <w:pPr>
              <w:jc w:val="center"/>
              <w:rPr>
                <w:rFonts w:ascii="Times New Roman" w:hAnsi="Times New Roman" w:eastAsia="仿宋_GB2312"/>
                <w:color w:val="000000"/>
                <w:sz w:val="24"/>
                <w:szCs w:val="24"/>
                <w:lang w:val="zh-CN"/>
              </w:rPr>
            </w:pPr>
            <w:r>
              <w:rPr>
                <w:rFonts w:ascii="Times New Roman" w:hAnsi="Times New Roman" w:eastAsia="仿宋_GB2312"/>
                <w:color w:val="000000"/>
                <w:sz w:val="24"/>
                <w:szCs w:val="24"/>
                <w:lang w:val="zh-CN"/>
              </w:rPr>
              <w:object>
                <v:shape id="_x0000_i1028" o:spt="75" type="#_x0000_t75" style="height:172.8pt;width:374.4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16">
                  <o:LockedField>false</o:LockedField>
                </o:OLEObject>
              </w:object>
            </w:r>
          </w:p>
          <w:p>
            <w:pPr>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 xml:space="preserve">图7-1 </w:t>
            </w:r>
            <w:r>
              <w:rPr>
                <w:rFonts w:ascii="Times New Roman" w:hAnsi="Times New Roman" w:eastAsia="仿宋_GB2312"/>
                <w:b/>
                <w:bCs/>
                <w:color w:val="000000"/>
                <w:sz w:val="24"/>
                <w:szCs w:val="24"/>
              </w:rPr>
              <w:t>江心洲污水厂工艺流程图</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kern w:val="0"/>
                <w:sz w:val="24"/>
                <w:szCs w:val="24"/>
              </w:rPr>
              <w:t>从水质来看，</w:t>
            </w:r>
            <w:r>
              <w:rPr>
                <w:rFonts w:ascii="Times New Roman" w:hAnsi="Times New Roman" w:eastAsia="仿宋_GB2312"/>
                <w:color w:val="000000"/>
                <w:sz w:val="24"/>
                <w:szCs w:val="24"/>
              </w:rPr>
              <w:t>本项目实验废水与生活污水通过化粪池处理后，接管江心洲污水处理厂进行处理。混合污水的各污染因子产生浓度：COD 300mg/L、SS 60mg/L、氨氮20mg/L、总磷3mg/L、氟化物0.007mg/L</w:t>
            </w:r>
            <w:r>
              <w:rPr>
                <w:rFonts w:hint="eastAsia" w:ascii="Times New Roman" w:hAnsi="Times New Roman" w:eastAsia="仿宋_GB2312"/>
                <w:color w:val="000000"/>
                <w:sz w:val="24"/>
                <w:szCs w:val="24"/>
              </w:rPr>
              <w:t>、L</w:t>
            </w:r>
            <w:r>
              <w:rPr>
                <w:rFonts w:ascii="Times New Roman" w:hAnsi="Times New Roman" w:eastAsia="仿宋_GB2312"/>
                <w:color w:val="000000"/>
                <w:sz w:val="24"/>
                <w:szCs w:val="24"/>
              </w:rPr>
              <w:t>AS 0.212</w:t>
            </w:r>
            <w:r>
              <w:rPr>
                <w:rFonts w:hint="eastAsia" w:ascii="Times New Roman" w:hAnsi="Times New Roman" w:eastAsia="仿宋_GB2312"/>
                <w:color w:val="000000"/>
                <w:sz w:val="24"/>
                <w:szCs w:val="24"/>
              </w:rPr>
              <w:t>mg</w:t>
            </w:r>
            <w:r>
              <w:rPr>
                <w:rFonts w:ascii="Times New Roman" w:hAnsi="Times New Roman" w:eastAsia="仿宋_GB2312"/>
                <w:color w:val="000000"/>
                <w:sz w:val="24"/>
                <w:szCs w:val="24"/>
              </w:rPr>
              <w:t>/L，接管</w:t>
            </w:r>
            <w:r>
              <w:rPr>
                <w:rFonts w:hint="eastAsia" w:ascii="Times New Roman" w:hAnsi="Times New Roman" w:eastAsia="仿宋_GB2312"/>
                <w:color w:val="000000"/>
                <w:sz w:val="24"/>
                <w:szCs w:val="24"/>
              </w:rPr>
              <w:t>标准</w:t>
            </w:r>
            <w:r>
              <w:rPr>
                <w:rFonts w:ascii="Times New Roman" w:hAnsi="Times New Roman" w:eastAsia="仿宋_GB2312"/>
                <w:color w:val="000000"/>
                <w:sz w:val="24"/>
                <w:szCs w:val="24"/>
              </w:rPr>
              <w:t>：COD 500mg/L、SS 400mg/L、氨氮45mg/L、总磷8mg/L、氟化物5mg/L。</w:t>
            </w:r>
            <w:r>
              <w:rPr>
                <w:rFonts w:ascii="Times New Roman" w:hAnsi="Times New Roman" w:eastAsia="仿宋_GB2312"/>
                <w:color w:val="000000"/>
                <w:kern w:val="0"/>
                <w:sz w:val="24"/>
                <w:szCs w:val="24"/>
              </w:rPr>
              <w:t>项目污水中的各项污染物浓度均可达到江心洲污水处理厂的接管标准，对污水处理厂负荷冲击不大。</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从水量来看，项目废水量为282.812t/a，每日废水排放量约为1.15t/d。江心洲污水处理厂目前设计处理能力为67万m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/d，已接管量约为50万m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/d，尚有接管余量约为17万m</w:t>
            </w:r>
            <w:r>
              <w:rPr>
                <w:rFonts w:ascii="Times New Roman" w:hAnsi="Times New Roman" w:eastAsia="仿宋_GB2312"/>
                <w:color w:val="000000"/>
                <w:sz w:val="24"/>
                <w:szCs w:val="24"/>
                <w:vertAlign w:val="superscript"/>
              </w:rPr>
              <w:t>3</w:t>
            </w:r>
            <w:r>
              <w:rPr>
                <w:rFonts w:ascii="Times New Roman" w:hAnsi="Times New Roman" w:eastAsia="仿宋_GB2312"/>
                <w:color w:val="000000"/>
                <w:sz w:val="24"/>
                <w:szCs w:val="24"/>
              </w:rPr>
              <w:t>/d。与江心洲污水处理厂的接管余量相比，本项目废水量少，污染物排放浓度较低，污染物排放量少，对其正常处理几乎没有冲击影响，所以江心洲污水处理厂完全可以接纳处理项目废水。</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项目位于南京市鼓楼区凤凰西街241号，属于江心洲污水处理厂服务范围内，且项目所在区域污水管网已全部铺设到位，项目废水能够排至江心洲污水厂处理，即项目污水管网接管可行。</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综上所述，项目废水排放量在水质水量上均满足污水处理厂的接管标准，从运行时间、处理余量、管网铺设、接管要求等方面具有接管可行性。</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2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②</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污染物排放量核算结果</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废水类别、污染物及污染治理设施见表7-11。</w:t>
            </w:r>
          </w:p>
          <w:p>
            <w:pPr>
              <w:adjustRightInd w:val="0"/>
              <w:snapToGrid w:val="0"/>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rPr>
              <w:t>表7-11 废水类别、污染物及污染治理设施信息表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701"/>
              <w:gridCol w:w="1119"/>
              <w:gridCol w:w="717"/>
              <w:gridCol w:w="848"/>
              <w:gridCol w:w="850"/>
              <w:gridCol w:w="705"/>
              <w:gridCol w:w="672"/>
              <w:gridCol w:w="798"/>
              <w:gridCol w:w="705"/>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序号</w:t>
                  </w:r>
                </w:p>
              </w:tc>
              <w:tc>
                <w:tcPr>
                  <w:tcW w:w="420"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废水类别</w:t>
                  </w:r>
                </w:p>
              </w:tc>
              <w:tc>
                <w:tcPr>
                  <w:tcW w:w="671"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污染物种类</w:t>
                  </w:r>
                </w:p>
              </w:tc>
              <w:tc>
                <w:tcPr>
                  <w:tcW w:w="428"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排放去向</w:t>
                  </w:r>
                </w:p>
              </w:tc>
              <w:tc>
                <w:tcPr>
                  <w:tcW w:w="508"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排放规律</w:t>
                  </w:r>
                </w:p>
              </w:tc>
              <w:tc>
                <w:tcPr>
                  <w:tcW w:w="1332" w:type="pct"/>
                  <w:gridSpan w:val="3"/>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污染治理设施</w:t>
                  </w:r>
                </w:p>
              </w:tc>
              <w:tc>
                <w:tcPr>
                  <w:tcW w:w="480"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排放口编号</w:t>
                  </w:r>
                </w:p>
              </w:tc>
              <w:tc>
                <w:tcPr>
                  <w:tcW w:w="422"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排放口设置是否符合要求</w:t>
                  </w:r>
                </w:p>
              </w:tc>
              <w:tc>
                <w:tcPr>
                  <w:tcW w:w="475"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422"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673"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431"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510"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511"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污染治理设施编号</w:t>
                  </w:r>
                </w:p>
              </w:tc>
              <w:tc>
                <w:tcPr>
                  <w:tcW w:w="424"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污染治理设施名称</w:t>
                  </w:r>
                </w:p>
              </w:tc>
              <w:tc>
                <w:tcPr>
                  <w:tcW w:w="404"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污染治理设施工艺</w:t>
                  </w:r>
                </w:p>
              </w:tc>
              <w:tc>
                <w:tcPr>
                  <w:tcW w:w="467"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424"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477" w:type="pct"/>
                  <w:vMerge w:val="continue"/>
                  <w:shd w:val="clear" w:color="auto" w:fill="auto"/>
                  <w:vAlign w:val="center"/>
                </w:tcPr>
                <w:p>
                  <w:pPr>
                    <w:widowControl/>
                    <w:jc w:val="center"/>
                    <w:rPr>
                      <w:rFonts w:ascii="Times New Roman" w:hAnsi="Times New Roman" w:eastAsia="仿宋_GB2312"/>
                      <w:b/>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w:t>
                  </w:r>
                </w:p>
              </w:tc>
              <w:tc>
                <w:tcPr>
                  <w:tcW w:w="422"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生活污水</w:t>
                  </w:r>
                </w:p>
              </w:tc>
              <w:tc>
                <w:tcPr>
                  <w:tcW w:w="673" w:type="pct"/>
                  <w:shd w:val="clear" w:color="auto" w:fill="auto"/>
                  <w:vAlign w:val="center"/>
                </w:tcPr>
                <w:p>
                  <w:pPr>
                    <w:pStyle w:val="36"/>
                    <w:spacing w:after="0"/>
                    <w:ind w:firstLine="0" w:firstLineChars="0"/>
                    <w:jc w:val="center"/>
                    <w:rPr>
                      <w:rFonts w:eastAsia="仿宋_GB2312"/>
                      <w:color w:val="000000"/>
                      <w:szCs w:val="21"/>
                    </w:rPr>
                  </w:pPr>
                  <w:r>
                    <w:rPr>
                      <w:rFonts w:eastAsia="仿宋_GB2312"/>
                      <w:color w:val="000000"/>
                      <w:kern w:val="0"/>
                      <w:szCs w:val="21"/>
                    </w:rPr>
                    <w:t>COD、NH</w:t>
                  </w:r>
                  <w:r>
                    <w:rPr>
                      <w:rFonts w:eastAsia="仿宋_GB2312"/>
                      <w:color w:val="000000"/>
                      <w:kern w:val="0"/>
                      <w:szCs w:val="21"/>
                      <w:vertAlign w:val="subscript"/>
                    </w:rPr>
                    <w:t>3</w:t>
                  </w:r>
                  <w:r>
                    <w:rPr>
                      <w:rFonts w:eastAsia="仿宋_GB2312"/>
                      <w:color w:val="000000"/>
                      <w:kern w:val="0"/>
                      <w:szCs w:val="21"/>
                    </w:rPr>
                    <w:t>-N、SS、总磷</w:t>
                  </w:r>
                </w:p>
              </w:tc>
              <w:tc>
                <w:tcPr>
                  <w:tcW w:w="431"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szCs w:val="21"/>
                    </w:rPr>
                    <w:t>江心洲污水处理厂</w:t>
                  </w:r>
                </w:p>
              </w:tc>
              <w:tc>
                <w:tcPr>
                  <w:tcW w:w="510"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间断排放，排放期间流量不稳定</w:t>
                  </w:r>
                </w:p>
              </w:tc>
              <w:tc>
                <w:tcPr>
                  <w:tcW w:w="511"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TW01</w:t>
                  </w:r>
                </w:p>
              </w:tc>
              <w:tc>
                <w:tcPr>
                  <w:tcW w:w="42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化粪池</w:t>
                  </w:r>
                </w:p>
              </w:tc>
              <w:tc>
                <w:tcPr>
                  <w:tcW w:w="40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化粪池</w:t>
                  </w:r>
                </w:p>
              </w:tc>
              <w:tc>
                <w:tcPr>
                  <w:tcW w:w="467"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DW01</w:t>
                  </w:r>
                </w:p>
              </w:tc>
              <w:tc>
                <w:tcPr>
                  <w:tcW w:w="424" w:type="pct"/>
                  <w:vMerge w:val="restart"/>
                  <w:shd w:val="clear" w:color="auto" w:fill="auto"/>
                  <w:vAlign w:val="center"/>
                </w:tcPr>
                <w:p>
                  <w:pPr>
                    <w:jc w:val="left"/>
                    <w:rPr>
                      <w:rFonts w:ascii="Times New Roman" w:hAnsi="Times New Roman" w:eastAsia="仿宋_GB2312"/>
                      <w:color w:val="000000"/>
                      <w:szCs w:val="21"/>
                    </w:rPr>
                  </w:pPr>
                  <w:r>
                    <w:rPr>
                      <w:rFonts w:ascii="Times New Roman" w:hAnsi="Times New Roman" w:eastAsia="仿宋_GB2312"/>
                      <w:color w:val="000000"/>
                      <w:sz w:val="18"/>
                      <w:szCs w:val="18"/>
                    </w:rPr>
                    <w:sym w:font="Wingdings 2" w:char="0052"/>
                  </w:r>
                  <w:r>
                    <w:rPr>
                      <w:rFonts w:ascii="Times New Roman" w:hAnsi="Times New Roman" w:eastAsia="仿宋_GB2312"/>
                      <w:color w:val="000000"/>
                      <w:szCs w:val="21"/>
                    </w:rPr>
                    <w:t>是</w:t>
                  </w:r>
                </w:p>
                <w:p>
                  <w:pPr>
                    <w:pStyle w:val="36"/>
                    <w:spacing w:after="0"/>
                    <w:ind w:firstLine="0" w:firstLineChars="0"/>
                    <w:jc w:val="left"/>
                    <w:rPr>
                      <w:rFonts w:eastAsia="仿宋_GB2312"/>
                      <w:color w:val="000000"/>
                      <w:szCs w:val="21"/>
                    </w:rPr>
                  </w:pPr>
                  <w:r>
                    <w:rPr>
                      <w:rFonts w:eastAsia="仿宋_GB2312"/>
                      <w:color w:val="000000"/>
                      <w:szCs w:val="21"/>
                    </w:rPr>
                    <w:t>□否</w:t>
                  </w:r>
                </w:p>
              </w:tc>
              <w:tc>
                <w:tcPr>
                  <w:tcW w:w="477"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sz w:val="18"/>
                      <w:szCs w:val="18"/>
                    </w:rPr>
                    <w:sym w:font="Wingdings 2" w:char="0052"/>
                  </w:r>
                  <w:r>
                    <w:rPr>
                      <w:rFonts w:ascii="Times New Roman" w:hAnsi="Times New Roman" w:eastAsia="仿宋_GB2312"/>
                      <w:color w:val="000000"/>
                      <w:szCs w:val="21"/>
                    </w:rPr>
                    <w:t>企业总排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2</w:t>
                  </w:r>
                </w:p>
              </w:tc>
              <w:tc>
                <w:tcPr>
                  <w:tcW w:w="420"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实验废水</w:t>
                  </w:r>
                </w:p>
              </w:tc>
              <w:tc>
                <w:tcPr>
                  <w:tcW w:w="671" w:type="pct"/>
                  <w:shd w:val="clear" w:color="auto" w:fill="auto"/>
                  <w:vAlign w:val="center"/>
                </w:tcPr>
                <w:p>
                  <w:pPr>
                    <w:pStyle w:val="36"/>
                    <w:spacing w:after="0"/>
                    <w:ind w:firstLine="0" w:firstLineChars="0"/>
                    <w:jc w:val="center"/>
                    <w:rPr>
                      <w:rFonts w:eastAsia="仿宋_GB2312"/>
                      <w:color w:val="000000"/>
                      <w:szCs w:val="21"/>
                    </w:rPr>
                  </w:pPr>
                  <w:r>
                    <w:rPr>
                      <w:rFonts w:eastAsia="仿宋_GB2312"/>
                      <w:color w:val="000000"/>
                      <w:kern w:val="0"/>
                      <w:szCs w:val="21"/>
                    </w:rPr>
                    <w:t>COD、NH</w:t>
                  </w:r>
                  <w:r>
                    <w:rPr>
                      <w:rFonts w:eastAsia="仿宋_GB2312"/>
                      <w:color w:val="000000"/>
                      <w:kern w:val="0"/>
                      <w:szCs w:val="21"/>
                      <w:vertAlign w:val="subscript"/>
                    </w:rPr>
                    <w:t>3</w:t>
                  </w:r>
                  <w:r>
                    <w:rPr>
                      <w:rFonts w:eastAsia="仿宋_GB2312"/>
                      <w:color w:val="000000"/>
                      <w:kern w:val="0"/>
                      <w:szCs w:val="21"/>
                    </w:rPr>
                    <w:t>-N、SS、总磷、氟化物</w:t>
                  </w:r>
                  <w:r>
                    <w:rPr>
                      <w:rFonts w:hint="eastAsia" w:eastAsia="仿宋_GB2312"/>
                      <w:color w:val="000000"/>
                      <w:kern w:val="0"/>
                      <w:szCs w:val="21"/>
                    </w:rPr>
                    <w:t>、</w:t>
                  </w:r>
                  <w:r>
                    <w:rPr>
                      <w:rFonts w:eastAsia="仿宋_GB2312"/>
                      <w:color w:val="000000"/>
                      <w:kern w:val="0"/>
                      <w:szCs w:val="21"/>
                    </w:rPr>
                    <w:t>LAS</w:t>
                  </w:r>
                </w:p>
              </w:tc>
              <w:tc>
                <w:tcPr>
                  <w:tcW w:w="42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0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08" w:type="pct"/>
                  <w:vMerge w:val="continue"/>
                  <w:shd w:val="clear" w:color="auto" w:fill="auto"/>
                  <w:vAlign w:val="center"/>
                </w:tcPr>
                <w:p>
                  <w:pPr>
                    <w:jc w:val="center"/>
                    <w:rPr>
                      <w:rFonts w:ascii="Times New Roman" w:hAnsi="Times New Roman" w:eastAsia="仿宋_GB2312"/>
                      <w:color w:val="000000"/>
                      <w:kern w:val="0"/>
                      <w:szCs w:val="21"/>
                    </w:rPr>
                  </w:pPr>
                </w:p>
              </w:tc>
              <w:tc>
                <w:tcPr>
                  <w:tcW w:w="422" w:type="pct"/>
                  <w:vMerge w:val="continue"/>
                  <w:shd w:val="clear" w:color="auto" w:fill="auto"/>
                  <w:vAlign w:val="center"/>
                </w:tcPr>
                <w:p>
                  <w:pPr>
                    <w:jc w:val="center"/>
                    <w:rPr>
                      <w:rFonts w:ascii="Times New Roman" w:hAnsi="Times New Roman" w:eastAsia="仿宋_GB2312"/>
                      <w:color w:val="000000"/>
                      <w:kern w:val="0"/>
                      <w:szCs w:val="21"/>
                    </w:rPr>
                  </w:pPr>
                </w:p>
              </w:tc>
              <w:tc>
                <w:tcPr>
                  <w:tcW w:w="402" w:type="pct"/>
                  <w:vMerge w:val="continue"/>
                  <w:shd w:val="clear" w:color="auto" w:fill="auto"/>
                  <w:vAlign w:val="center"/>
                </w:tcPr>
                <w:p>
                  <w:pPr>
                    <w:jc w:val="center"/>
                    <w:rPr>
                      <w:rFonts w:ascii="Times New Roman" w:hAnsi="Times New Roman" w:eastAsia="仿宋_GB2312"/>
                      <w:color w:val="000000"/>
                      <w:kern w:val="0"/>
                      <w:szCs w:val="21"/>
                    </w:rPr>
                  </w:pPr>
                </w:p>
              </w:tc>
              <w:tc>
                <w:tcPr>
                  <w:tcW w:w="48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22" w:type="pct"/>
                  <w:vMerge w:val="continue"/>
                  <w:shd w:val="clear" w:color="auto" w:fill="auto"/>
                  <w:vAlign w:val="center"/>
                </w:tcPr>
                <w:p>
                  <w:pPr>
                    <w:widowControl/>
                    <w:jc w:val="center"/>
                    <w:rPr>
                      <w:rFonts w:ascii="Times New Roman" w:hAnsi="Times New Roman" w:eastAsia="仿宋_GB2312"/>
                      <w:color w:val="000000"/>
                      <w:szCs w:val="21"/>
                    </w:rPr>
                  </w:pPr>
                </w:p>
              </w:tc>
              <w:tc>
                <w:tcPr>
                  <w:tcW w:w="475" w:type="pct"/>
                  <w:vMerge w:val="continue"/>
                  <w:shd w:val="clear" w:color="auto" w:fill="auto"/>
                  <w:vAlign w:val="center"/>
                </w:tcPr>
                <w:p>
                  <w:pPr>
                    <w:widowControl/>
                    <w:jc w:val="center"/>
                    <w:rPr>
                      <w:rFonts w:ascii="Times New Roman" w:hAnsi="Times New Roman" w:eastAsia="仿宋_GB2312"/>
                      <w:color w:val="000000"/>
                      <w:kern w:val="0"/>
                      <w:szCs w:val="21"/>
                    </w:rPr>
                  </w:pPr>
                </w:p>
              </w:tc>
            </w:tr>
          </w:tbl>
          <w:p>
            <w:pPr>
              <w:pStyle w:val="88"/>
              <w:spacing w:line="480" w:lineRule="exact"/>
              <w:ind w:firstLine="480"/>
              <w:rPr>
                <w:rFonts w:ascii="Times New Roman" w:hAnsi="Times New Roman" w:eastAsia="仿宋_GB2312"/>
                <w:color w:val="000000"/>
                <w:sz w:val="24"/>
                <w:szCs w:val="24"/>
              </w:rPr>
            </w:pPr>
            <w:r>
              <w:rPr>
                <w:rFonts w:ascii="Times New Roman" w:hAnsi="Times New Roman" w:eastAsia="仿宋_GB2312"/>
                <w:color w:val="000000"/>
                <w:sz w:val="24"/>
                <w:szCs w:val="24"/>
              </w:rPr>
              <w:t>废水间接排放口基本情况见表7-12。</w:t>
            </w:r>
          </w:p>
          <w:p>
            <w:pPr>
              <w:spacing w:line="480" w:lineRule="exact"/>
              <w:jc w:val="center"/>
              <w:rPr>
                <w:rFonts w:ascii="Times New Roman" w:hAnsi="Times New Roman" w:eastAsia="仿宋_GB2312"/>
                <w:b/>
                <w:bCs/>
                <w:color w:val="000000"/>
                <w:sz w:val="24"/>
              </w:rPr>
            </w:pPr>
          </w:p>
          <w:p>
            <w:pPr>
              <w:spacing w:line="480" w:lineRule="exact"/>
              <w:jc w:val="center"/>
              <w:rPr>
                <w:rFonts w:ascii="Times New Roman" w:hAnsi="Times New Roman" w:eastAsia="仿宋_GB2312"/>
                <w:b/>
                <w:bCs/>
                <w:color w:val="000000"/>
                <w:sz w:val="24"/>
              </w:rPr>
            </w:pPr>
          </w:p>
          <w:p>
            <w:pPr>
              <w:spacing w:line="480" w:lineRule="exact"/>
              <w:jc w:val="center"/>
              <w:rPr>
                <w:rFonts w:ascii="Times New Roman" w:hAnsi="Times New Roman" w:eastAsia="仿宋_GB2312"/>
                <w:b/>
                <w:bCs/>
                <w:color w:val="000000"/>
                <w:sz w:val="24"/>
              </w:rPr>
            </w:pPr>
          </w:p>
          <w:p>
            <w:pPr>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rPr>
              <w:t>表7-12 废水间接排放口基本情况表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563"/>
              <w:gridCol w:w="1020"/>
              <w:gridCol w:w="921"/>
              <w:gridCol w:w="921"/>
              <w:gridCol w:w="655"/>
              <w:gridCol w:w="752"/>
              <w:gridCol w:w="720"/>
              <w:gridCol w:w="642"/>
              <w:gridCol w:w="943"/>
              <w:gridCol w:w="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序号</w:t>
                  </w:r>
                </w:p>
              </w:tc>
              <w:tc>
                <w:tcPr>
                  <w:tcW w:w="341"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排放口编号</w:t>
                  </w:r>
                </w:p>
              </w:tc>
              <w:tc>
                <w:tcPr>
                  <w:tcW w:w="1172" w:type="pct"/>
                  <w:gridSpan w:val="2"/>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排放口地理坐标</w:t>
                  </w:r>
                </w:p>
              </w:tc>
              <w:tc>
                <w:tcPr>
                  <w:tcW w:w="556"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废水排放量（t/a）</w:t>
                  </w:r>
                </w:p>
              </w:tc>
              <w:tc>
                <w:tcPr>
                  <w:tcW w:w="396"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排入去向</w:t>
                  </w:r>
                </w:p>
              </w:tc>
              <w:tc>
                <w:tcPr>
                  <w:tcW w:w="454"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排放规律</w:t>
                  </w:r>
                </w:p>
              </w:tc>
              <w:tc>
                <w:tcPr>
                  <w:tcW w:w="435"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间歇排放时段</w:t>
                  </w:r>
                </w:p>
              </w:tc>
              <w:tc>
                <w:tcPr>
                  <w:tcW w:w="1382" w:type="pct"/>
                  <w:gridSpan w:val="3"/>
                  <w:tcBorders>
                    <w:bottom w:val="single" w:color="auto" w:sz="4" w:space="0"/>
                  </w:tcBorders>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616"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经度</w:t>
                  </w:r>
                </w:p>
              </w:tc>
              <w:tc>
                <w:tcPr>
                  <w:tcW w:w="556"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纬度</w:t>
                  </w:r>
                </w:p>
              </w:tc>
              <w:tc>
                <w:tcPr>
                  <w:tcW w:w="556"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388" w:type="pct"/>
                  <w:tcBorders>
                    <w:top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名称</w:t>
                  </w:r>
                </w:p>
              </w:tc>
              <w:tc>
                <w:tcPr>
                  <w:tcW w:w="569" w:type="pct"/>
                  <w:tcBorders>
                    <w:top w:val="single" w:color="auto" w:sz="4" w:space="0"/>
                    <w:left w:val="single" w:color="auto" w:sz="4" w:space="0"/>
                    <w:bottom w:val="single" w:color="auto" w:sz="4" w:space="0"/>
                  </w:tcBorders>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污染物种类</w:t>
                  </w:r>
                </w:p>
              </w:tc>
              <w:tc>
                <w:tcPr>
                  <w:tcW w:w="425" w:type="pct"/>
                  <w:tcBorders>
                    <w:top w:val="single" w:color="auto" w:sz="4" w:space="0"/>
                    <w:bottom w:val="single" w:color="auto" w:sz="4" w:space="0"/>
                    <w:right w:val="nil"/>
                  </w:tcBorders>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国家污染物排放限值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w:t>
                  </w:r>
                </w:p>
              </w:tc>
              <w:tc>
                <w:tcPr>
                  <w:tcW w:w="341"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废水排口</w:t>
                  </w:r>
                </w:p>
              </w:tc>
              <w:tc>
                <w:tcPr>
                  <w:tcW w:w="616"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118.7458</w:t>
                  </w:r>
                </w:p>
              </w:tc>
              <w:tc>
                <w:tcPr>
                  <w:tcW w:w="556"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32.0432</w:t>
                  </w:r>
                </w:p>
              </w:tc>
              <w:tc>
                <w:tcPr>
                  <w:tcW w:w="556" w:type="pct"/>
                  <w:vMerge w:val="restar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282.812</w:t>
                  </w:r>
                </w:p>
              </w:tc>
              <w:tc>
                <w:tcPr>
                  <w:tcW w:w="396"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江心洲污水处理厂</w:t>
                  </w:r>
                </w:p>
              </w:tc>
              <w:tc>
                <w:tcPr>
                  <w:tcW w:w="45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间断排放，排放期间流量不稳定</w:t>
                  </w:r>
                </w:p>
              </w:tc>
              <w:tc>
                <w:tcPr>
                  <w:tcW w:w="435" w:type="pct"/>
                  <w:vMerge w:val="restart"/>
                  <w:tcBorders>
                    <w:top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年250天，每天8小时</w:t>
                  </w:r>
                </w:p>
              </w:tc>
              <w:tc>
                <w:tcPr>
                  <w:tcW w:w="388" w:type="pct"/>
                  <w:vMerge w:val="restart"/>
                  <w:tcBorders>
                    <w:top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江心洲污水处理厂</w:t>
                  </w:r>
                </w:p>
              </w:tc>
              <w:tc>
                <w:tcPr>
                  <w:tcW w:w="569" w:type="pct"/>
                  <w:tcBorders>
                    <w:top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pH</w:t>
                  </w:r>
                </w:p>
              </w:tc>
              <w:tc>
                <w:tcPr>
                  <w:tcW w:w="425" w:type="pct"/>
                  <w:tcBorders>
                    <w:top w:val="single" w:color="auto" w:sz="4" w:space="0"/>
                  </w:tcBorders>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61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8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6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COD</w:t>
                  </w:r>
                </w:p>
              </w:tc>
              <w:tc>
                <w:tcPr>
                  <w:tcW w:w="42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61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8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6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SS</w:t>
                  </w:r>
                </w:p>
              </w:tc>
              <w:tc>
                <w:tcPr>
                  <w:tcW w:w="42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61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8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6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NH</w:t>
                  </w:r>
                  <w:r>
                    <w:rPr>
                      <w:rFonts w:ascii="Times New Roman" w:hAnsi="Times New Roman" w:eastAsia="仿宋_GB2312"/>
                      <w:color w:val="000000"/>
                      <w:kern w:val="0"/>
                      <w:szCs w:val="21"/>
                      <w:vertAlign w:val="subscript"/>
                    </w:rPr>
                    <w:t>3</w:t>
                  </w:r>
                  <w:r>
                    <w:rPr>
                      <w:rFonts w:ascii="Times New Roman" w:hAnsi="Times New Roman" w:eastAsia="仿宋_GB2312"/>
                      <w:color w:val="000000"/>
                      <w:kern w:val="0"/>
                      <w:szCs w:val="21"/>
                    </w:rPr>
                    <w:t>-N</w:t>
                  </w:r>
                </w:p>
              </w:tc>
              <w:tc>
                <w:tcPr>
                  <w:tcW w:w="42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5</w:t>
                  </w:r>
                  <w:r>
                    <w:rPr>
                      <w:rFonts w:hint="eastAsia" w:ascii="Times New Roman" w:hAnsi="Times New Roman" w:eastAsia="仿宋_GB2312"/>
                      <w:color w:val="00000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61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8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6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总磷</w:t>
                  </w:r>
                </w:p>
              </w:tc>
              <w:tc>
                <w:tcPr>
                  <w:tcW w:w="42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61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8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6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氟化物</w:t>
                  </w:r>
                </w:p>
              </w:tc>
              <w:tc>
                <w:tcPr>
                  <w:tcW w:w="42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41"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61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5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96"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5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435"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388"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569"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L</w:t>
                  </w:r>
                  <w:r>
                    <w:rPr>
                      <w:rFonts w:ascii="Times New Roman" w:hAnsi="Times New Roman" w:eastAsia="仿宋_GB2312"/>
                      <w:color w:val="000000"/>
                      <w:kern w:val="0"/>
                      <w:szCs w:val="21"/>
                    </w:rPr>
                    <w:t>AS</w:t>
                  </w:r>
                </w:p>
              </w:tc>
              <w:tc>
                <w:tcPr>
                  <w:tcW w:w="42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0.5</w:t>
                  </w:r>
                </w:p>
              </w:tc>
            </w:tr>
          </w:tbl>
          <w:p>
            <w:pPr>
              <w:pStyle w:val="88"/>
              <w:spacing w:line="480" w:lineRule="exact"/>
              <w:ind w:firstLine="480"/>
              <w:rPr>
                <w:rFonts w:ascii="Times New Roman" w:hAnsi="Times New Roman" w:eastAsia="仿宋_GB2312"/>
                <w:color w:val="000000"/>
                <w:sz w:val="24"/>
                <w:szCs w:val="24"/>
              </w:rPr>
            </w:pPr>
            <w:r>
              <w:rPr>
                <w:rFonts w:ascii="Times New Roman" w:hAnsi="Times New Roman" w:eastAsia="仿宋_GB2312"/>
                <w:color w:val="000000"/>
                <w:sz w:val="24"/>
                <w:szCs w:val="24"/>
              </w:rPr>
              <w:t>污染物排放执行标准表7-13。</w:t>
            </w:r>
          </w:p>
          <w:p>
            <w:pPr>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rPr>
              <w:t>表7-13 废水污染物排放执行标准表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170"/>
              <w:gridCol w:w="1860"/>
              <w:gridCol w:w="1646"/>
              <w:gridCol w:w="2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序号</w:t>
                  </w:r>
                </w:p>
              </w:tc>
              <w:tc>
                <w:tcPr>
                  <w:tcW w:w="704"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排放口编号</w:t>
                  </w:r>
                </w:p>
              </w:tc>
              <w:tc>
                <w:tcPr>
                  <w:tcW w:w="1119" w:type="pct"/>
                  <w:vMerge w:val="restar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污染物种类</w:t>
                  </w:r>
                </w:p>
              </w:tc>
              <w:tc>
                <w:tcPr>
                  <w:tcW w:w="2784" w:type="pct"/>
                  <w:gridSpan w:val="2"/>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1119" w:type="pct"/>
                  <w:vMerge w:val="continue"/>
                  <w:shd w:val="clear" w:color="auto" w:fill="auto"/>
                  <w:vAlign w:val="center"/>
                </w:tcPr>
                <w:p>
                  <w:pPr>
                    <w:widowControl/>
                    <w:jc w:val="center"/>
                    <w:rPr>
                      <w:rFonts w:ascii="Times New Roman" w:hAnsi="Times New Roman" w:eastAsia="仿宋_GB2312"/>
                      <w:b/>
                      <w:color w:val="000000"/>
                      <w:kern w:val="0"/>
                      <w:szCs w:val="21"/>
                    </w:rPr>
                  </w:pPr>
                </w:p>
              </w:tc>
              <w:tc>
                <w:tcPr>
                  <w:tcW w:w="990"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名称</w:t>
                  </w:r>
                </w:p>
              </w:tc>
              <w:tc>
                <w:tcPr>
                  <w:tcW w:w="1794"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w:t>
                  </w:r>
                </w:p>
              </w:tc>
              <w:tc>
                <w:tcPr>
                  <w:tcW w:w="70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废水排放口</w:t>
                  </w:r>
                </w:p>
              </w:tc>
              <w:tc>
                <w:tcPr>
                  <w:tcW w:w="111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pH</w:t>
                  </w:r>
                </w:p>
              </w:tc>
              <w:tc>
                <w:tcPr>
                  <w:tcW w:w="990"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污水处理厂接管标准</w:t>
                  </w: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6.5~9.5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11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COD</w:t>
                  </w:r>
                </w:p>
              </w:tc>
              <w:tc>
                <w:tcPr>
                  <w:tcW w:w="99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11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SS</w:t>
                  </w:r>
                </w:p>
              </w:tc>
              <w:tc>
                <w:tcPr>
                  <w:tcW w:w="99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11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NH</w:t>
                  </w:r>
                  <w:r>
                    <w:rPr>
                      <w:rFonts w:ascii="Times New Roman" w:hAnsi="Times New Roman" w:eastAsia="仿宋_GB2312"/>
                      <w:color w:val="000000"/>
                      <w:kern w:val="0"/>
                      <w:szCs w:val="21"/>
                      <w:vertAlign w:val="subscript"/>
                    </w:rPr>
                    <w:t>3</w:t>
                  </w:r>
                  <w:r>
                    <w:rPr>
                      <w:rFonts w:ascii="Times New Roman" w:hAnsi="Times New Roman" w:eastAsia="仿宋_GB2312"/>
                      <w:color w:val="000000"/>
                      <w:kern w:val="0"/>
                      <w:szCs w:val="21"/>
                    </w:rPr>
                    <w:t>-N</w:t>
                  </w:r>
                </w:p>
              </w:tc>
              <w:tc>
                <w:tcPr>
                  <w:tcW w:w="99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11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总磷</w:t>
                  </w:r>
                </w:p>
              </w:tc>
              <w:tc>
                <w:tcPr>
                  <w:tcW w:w="99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119"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氟化物</w:t>
                  </w:r>
                </w:p>
              </w:tc>
              <w:tc>
                <w:tcPr>
                  <w:tcW w:w="99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3"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70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119"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L</w:t>
                  </w:r>
                  <w:r>
                    <w:rPr>
                      <w:rFonts w:ascii="Times New Roman" w:hAnsi="Times New Roman" w:eastAsia="仿宋_GB2312"/>
                      <w:color w:val="000000"/>
                      <w:kern w:val="0"/>
                      <w:szCs w:val="21"/>
                    </w:rPr>
                    <w:t>AS</w:t>
                  </w:r>
                </w:p>
              </w:tc>
              <w:tc>
                <w:tcPr>
                  <w:tcW w:w="990"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1794"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20</w:t>
                  </w:r>
                </w:p>
              </w:tc>
            </w:tr>
          </w:tbl>
          <w:p>
            <w:pPr>
              <w:pStyle w:val="253"/>
              <w:rPr>
                <w:rFonts w:eastAsia="仿宋_GB2312"/>
                <w:color w:val="000000"/>
              </w:rPr>
            </w:pPr>
          </w:p>
          <w:p>
            <w:pPr>
              <w:pStyle w:val="88"/>
              <w:spacing w:line="480" w:lineRule="exact"/>
              <w:ind w:firstLine="480"/>
              <w:rPr>
                <w:rFonts w:ascii="Times New Roman" w:hAnsi="Times New Roman" w:eastAsia="仿宋_GB2312"/>
                <w:color w:val="000000"/>
                <w:sz w:val="24"/>
                <w:szCs w:val="24"/>
              </w:rPr>
            </w:pPr>
            <w:r>
              <w:rPr>
                <w:rFonts w:ascii="Times New Roman" w:hAnsi="Times New Roman" w:eastAsia="仿宋_GB2312"/>
                <w:color w:val="000000"/>
                <w:sz w:val="24"/>
                <w:szCs w:val="24"/>
              </w:rPr>
              <w:t>废水污染物排放信息见表7-14。</w:t>
            </w:r>
          </w:p>
          <w:p>
            <w:pPr>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rPr>
              <w:t>表7-14 废水污染物排放信息表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439"/>
              <w:gridCol w:w="3899"/>
              <w:gridCol w:w="1147"/>
              <w:gridCol w:w="1357"/>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序号</w:t>
                  </w:r>
                </w:p>
              </w:tc>
              <w:tc>
                <w:tcPr>
                  <w:tcW w:w="264"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排放口编号</w:t>
                  </w:r>
                </w:p>
              </w:tc>
              <w:tc>
                <w:tcPr>
                  <w:tcW w:w="2345"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污染物种类</w:t>
                  </w:r>
                </w:p>
              </w:tc>
              <w:tc>
                <w:tcPr>
                  <w:tcW w:w="690"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排放浓度（mg/L）</w:t>
                  </w:r>
                </w:p>
              </w:tc>
              <w:tc>
                <w:tcPr>
                  <w:tcW w:w="816"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日排放量（</w:t>
                  </w:r>
                  <w:r>
                    <w:rPr>
                      <w:rFonts w:hint="eastAsia" w:ascii="Times New Roman" w:hAnsi="Times New Roman" w:eastAsia="仿宋_GB2312"/>
                      <w:b/>
                      <w:color w:val="000000"/>
                      <w:kern w:val="0"/>
                      <w:szCs w:val="21"/>
                    </w:rPr>
                    <w:t>t</w:t>
                  </w:r>
                  <w:r>
                    <w:rPr>
                      <w:rFonts w:ascii="Times New Roman" w:hAnsi="Times New Roman" w:eastAsia="仿宋_GB2312"/>
                      <w:b/>
                      <w:color w:val="000000"/>
                      <w:kern w:val="0"/>
                      <w:szCs w:val="21"/>
                    </w:rPr>
                    <w:t>/d）</w:t>
                  </w:r>
                </w:p>
              </w:tc>
              <w:tc>
                <w:tcPr>
                  <w:tcW w:w="621" w:type="pct"/>
                  <w:shd w:val="clear" w:color="auto" w:fill="auto"/>
                  <w:vAlign w:val="center"/>
                </w:tcPr>
                <w:p>
                  <w:pPr>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年排放量（</w:t>
                  </w:r>
                  <w:r>
                    <w:rPr>
                      <w:rFonts w:hint="eastAsia" w:ascii="Times New Roman" w:hAnsi="Times New Roman" w:eastAsia="仿宋_GB2312"/>
                      <w:b/>
                      <w:color w:val="000000"/>
                      <w:kern w:val="0"/>
                      <w:szCs w:val="21"/>
                    </w:rPr>
                    <w:t>t</w:t>
                  </w:r>
                  <w:r>
                    <w:rPr>
                      <w:rFonts w:ascii="Times New Roman" w:hAnsi="Times New Roman" w:eastAsia="仿宋_GB2312"/>
                      <w:b/>
                      <w:color w:val="000000"/>
                      <w:kern w:val="0"/>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1</w:t>
                  </w:r>
                </w:p>
              </w:tc>
              <w:tc>
                <w:tcPr>
                  <w:tcW w:w="264" w:type="pct"/>
                  <w:vMerge w:val="restar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废水排放口</w:t>
                  </w: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COD</w:t>
                  </w:r>
                </w:p>
              </w:tc>
              <w:tc>
                <w:tcPr>
                  <w:tcW w:w="69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300</w:t>
                  </w:r>
                </w:p>
              </w:tc>
              <w:tc>
                <w:tcPr>
                  <w:tcW w:w="81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.000339</w:t>
                  </w:r>
                </w:p>
              </w:tc>
              <w:tc>
                <w:tcPr>
                  <w:tcW w:w="62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0.08484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SS</w:t>
                  </w:r>
                </w:p>
              </w:tc>
              <w:tc>
                <w:tcPr>
                  <w:tcW w:w="69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60</w:t>
                  </w:r>
                </w:p>
              </w:tc>
              <w:tc>
                <w:tcPr>
                  <w:tcW w:w="81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.000068</w:t>
                  </w:r>
                </w:p>
              </w:tc>
              <w:tc>
                <w:tcPr>
                  <w:tcW w:w="62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0.01697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NH</w:t>
                  </w:r>
                  <w:r>
                    <w:rPr>
                      <w:rFonts w:ascii="Times New Roman" w:hAnsi="Times New Roman" w:eastAsia="仿宋_GB2312"/>
                      <w:color w:val="000000"/>
                      <w:kern w:val="0"/>
                      <w:szCs w:val="21"/>
                      <w:vertAlign w:val="subscript"/>
                    </w:rPr>
                    <w:t>3</w:t>
                  </w:r>
                  <w:r>
                    <w:rPr>
                      <w:rFonts w:ascii="Times New Roman" w:hAnsi="Times New Roman" w:eastAsia="仿宋_GB2312"/>
                      <w:color w:val="000000"/>
                      <w:kern w:val="0"/>
                      <w:szCs w:val="21"/>
                    </w:rPr>
                    <w:t>-N</w:t>
                  </w:r>
                </w:p>
              </w:tc>
              <w:tc>
                <w:tcPr>
                  <w:tcW w:w="69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20</w:t>
                  </w:r>
                </w:p>
              </w:tc>
              <w:tc>
                <w:tcPr>
                  <w:tcW w:w="81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.000023</w:t>
                  </w:r>
                </w:p>
              </w:tc>
              <w:tc>
                <w:tcPr>
                  <w:tcW w:w="62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0.00566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总磷</w:t>
                  </w:r>
                </w:p>
              </w:tc>
              <w:tc>
                <w:tcPr>
                  <w:tcW w:w="69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w:t>
                  </w:r>
                </w:p>
              </w:tc>
              <w:tc>
                <w:tcPr>
                  <w:tcW w:w="81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0</w:t>
                  </w:r>
                  <w:r>
                    <w:rPr>
                      <w:rFonts w:ascii="Times New Roman" w:hAnsi="Times New Roman" w:eastAsia="仿宋_GB2312"/>
                      <w:color w:val="000000"/>
                      <w:szCs w:val="21"/>
                    </w:rPr>
                    <w:t>.0000034</w:t>
                  </w:r>
                </w:p>
              </w:tc>
              <w:tc>
                <w:tcPr>
                  <w:tcW w:w="62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氟化物</w:t>
                  </w:r>
                </w:p>
              </w:tc>
              <w:tc>
                <w:tcPr>
                  <w:tcW w:w="69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0.007</w:t>
                  </w:r>
                </w:p>
              </w:tc>
              <w:tc>
                <w:tcPr>
                  <w:tcW w:w="81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rPr>
                    <w:t>0</w:t>
                  </w:r>
                  <w:r>
                    <w:rPr>
                      <w:rFonts w:ascii="Times New Roman" w:hAnsi="Times New Roman" w:eastAsia="仿宋_GB2312"/>
                    </w:rPr>
                    <w:t>.000000008</w:t>
                  </w:r>
                </w:p>
              </w:tc>
              <w:tc>
                <w:tcPr>
                  <w:tcW w:w="62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rPr>
                    <w:t>0.000002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64" w:type="pct"/>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L</w:t>
                  </w:r>
                  <w:r>
                    <w:rPr>
                      <w:rFonts w:ascii="Times New Roman" w:hAnsi="Times New Roman" w:eastAsia="仿宋_GB2312"/>
                      <w:color w:val="000000"/>
                      <w:kern w:val="0"/>
                      <w:szCs w:val="21"/>
                    </w:rPr>
                    <w:t>AS</w:t>
                  </w:r>
                </w:p>
              </w:tc>
              <w:tc>
                <w:tcPr>
                  <w:tcW w:w="69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0.212</w:t>
                  </w:r>
                </w:p>
              </w:tc>
              <w:tc>
                <w:tcPr>
                  <w:tcW w:w="816"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rPr>
                    <w:t>0</w:t>
                  </w:r>
                  <w:r>
                    <w:rPr>
                      <w:rFonts w:ascii="Times New Roman" w:hAnsi="Times New Roman" w:eastAsia="仿宋_GB2312"/>
                    </w:rPr>
                    <w:t>.00000024</w:t>
                  </w:r>
                </w:p>
              </w:tc>
              <w:tc>
                <w:tcPr>
                  <w:tcW w:w="621"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rPr>
                    <w:t>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8" w:type="pct"/>
                  <w:gridSpan w:val="2"/>
                  <w:vMerge w:val="restart"/>
                  <w:shd w:val="clear" w:color="auto" w:fill="auto"/>
                  <w:vAlign w:val="center"/>
                </w:tcPr>
                <w:p>
                  <w:pPr>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COD</w:t>
                  </w:r>
                </w:p>
              </w:tc>
              <w:tc>
                <w:tcPr>
                  <w:tcW w:w="212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0.08484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8" w:type="pct"/>
                  <w:gridSpan w:val="2"/>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SS</w:t>
                  </w:r>
                </w:p>
              </w:tc>
              <w:tc>
                <w:tcPr>
                  <w:tcW w:w="212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0.01697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8" w:type="pct"/>
                  <w:gridSpan w:val="2"/>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NH</w:t>
                  </w:r>
                  <w:r>
                    <w:rPr>
                      <w:rFonts w:ascii="Times New Roman" w:hAnsi="Times New Roman" w:eastAsia="仿宋_GB2312"/>
                      <w:color w:val="000000"/>
                      <w:kern w:val="0"/>
                      <w:szCs w:val="21"/>
                      <w:vertAlign w:val="subscript"/>
                    </w:rPr>
                    <w:t>3</w:t>
                  </w:r>
                  <w:r>
                    <w:rPr>
                      <w:rFonts w:ascii="Times New Roman" w:hAnsi="Times New Roman" w:eastAsia="仿宋_GB2312"/>
                      <w:color w:val="000000"/>
                      <w:kern w:val="0"/>
                      <w:szCs w:val="21"/>
                    </w:rPr>
                    <w:t>-N</w:t>
                  </w:r>
                </w:p>
              </w:tc>
              <w:tc>
                <w:tcPr>
                  <w:tcW w:w="212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0.00566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8" w:type="pct"/>
                  <w:gridSpan w:val="2"/>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总磷</w:t>
                  </w:r>
                </w:p>
              </w:tc>
              <w:tc>
                <w:tcPr>
                  <w:tcW w:w="212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kern w:val="0"/>
                      <w:szCs w:val="21"/>
                    </w:rPr>
                    <w:t>0.00085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8" w:type="pct"/>
                  <w:gridSpan w:val="2"/>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氟化物</w:t>
                  </w:r>
                </w:p>
              </w:tc>
              <w:tc>
                <w:tcPr>
                  <w:tcW w:w="2127" w:type="pct"/>
                  <w:gridSpan w:val="3"/>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rPr>
                    <w:t>0.000002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28" w:type="pct"/>
                  <w:gridSpan w:val="2"/>
                  <w:vMerge w:val="continue"/>
                  <w:shd w:val="clear" w:color="auto" w:fill="auto"/>
                  <w:vAlign w:val="center"/>
                </w:tcPr>
                <w:p>
                  <w:pPr>
                    <w:widowControl/>
                    <w:jc w:val="center"/>
                    <w:rPr>
                      <w:rFonts w:ascii="Times New Roman" w:hAnsi="Times New Roman" w:eastAsia="仿宋_GB2312"/>
                      <w:color w:val="000000"/>
                      <w:kern w:val="0"/>
                      <w:szCs w:val="21"/>
                    </w:rPr>
                  </w:pPr>
                </w:p>
              </w:tc>
              <w:tc>
                <w:tcPr>
                  <w:tcW w:w="2345" w:type="pct"/>
                  <w:shd w:val="clear" w:color="auto" w:fill="auto"/>
                  <w:vAlign w:val="center"/>
                </w:tcPr>
                <w:p>
                  <w:pPr>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rPr>
                    <w:t>L</w:t>
                  </w:r>
                  <w:r>
                    <w:rPr>
                      <w:rFonts w:ascii="Times New Roman" w:hAnsi="Times New Roman" w:eastAsia="仿宋_GB2312"/>
                      <w:color w:val="000000"/>
                      <w:kern w:val="0"/>
                      <w:szCs w:val="21"/>
                    </w:rPr>
                    <w:t>AS</w:t>
                  </w:r>
                </w:p>
              </w:tc>
              <w:tc>
                <w:tcPr>
                  <w:tcW w:w="2127" w:type="pct"/>
                  <w:gridSpan w:val="3"/>
                  <w:shd w:val="clear" w:color="auto" w:fill="auto"/>
                  <w:vAlign w:val="center"/>
                </w:tcPr>
                <w:p>
                  <w:pPr>
                    <w:jc w:val="center"/>
                    <w:rPr>
                      <w:rFonts w:ascii="Times New Roman" w:hAnsi="Times New Roman" w:eastAsia="仿宋_GB2312"/>
                    </w:rPr>
                  </w:pPr>
                  <w:r>
                    <w:rPr>
                      <w:rFonts w:ascii="Times New Roman" w:hAnsi="Times New Roman" w:eastAsia="仿宋_GB2312"/>
                    </w:rPr>
                    <w:t>0.00006</w:t>
                  </w:r>
                </w:p>
              </w:tc>
            </w:tr>
          </w:tbl>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3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③</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地表水环境影响评价结论</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综上所述，本项目废水水质可达江心洲</w:t>
            </w:r>
            <w:r>
              <w:rPr>
                <w:rFonts w:ascii="Times New Roman" w:hAnsi="Times New Roman" w:eastAsia="仿宋_GB2312"/>
                <w:bCs/>
                <w:color w:val="000000"/>
                <w:sz w:val="24"/>
                <w:szCs w:val="24"/>
              </w:rPr>
              <w:t>污水处理厂</w:t>
            </w:r>
            <w:r>
              <w:rPr>
                <w:rFonts w:ascii="Times New Roman" w:hAnsi="Times New Roman" w:eastAsia="仿宋_GB2312"/>
                <w:color w:val="000000"/>
                <w:sz w:val="24"/>
                <w:szCs w:val="24"/>
              </w:rPr>
              <w:t>水质接管标准要求，从运行时间、接收水量、管网铺设等方面具有接管可行性，对周围地表水环境影响较小</w:t>
            </w:r>
            <w:r>
              <w:rPr>
                <w:rFonts w:ascii="Times New Roman" w:hAnsi="Times New Roman" w:eastAsia="仿宋_GB2312"/>
                <w:color w:val="000000"/>
                <w:kern w:val="0"/>
                <w:sz w:val="24"/>
                <w:szCs w:val="24"/>
              </w:rPr>
              <w:t>。</w:t>
            </w:r>
          </w:p>
          <w:p>
            <w:pPr>
              <w:spacing w:line="500" w:lineRule="exact"/>
              <w:ind w:firstLine="480" w:firstLineChars="200"/>
              <w:rPr>
                <w:rFonts w:ascii="Times New Roman" w:hAnsi="Times New Roman" w:eastAsia="仿宋_GB2312"/>
                <w:sz w:val="24"/>
              </w:rPr>
            </w:pPr>
            <w:r>
              <w:rPr>
                <w:rFonts w:ascii="Times New Roman" w:hAnsi="Times New Roman" w:eastAsia="仿宋_GB2312"/>
                <w:sz w:val="24"/>
              </w:rPr>
              <w:t>建项目地表水环境影响评价自查情况见表7-15。</w:t>
            </w:r>
          </w:p>
          <w:p>
            <w:pPr>
              <w:adjustRightInd w:val="0"/>
              <w:snapToGrid w:val="0"/>
              <w:spacing w:line="500" w:lineRule="exact"/>
              <w:jc w:val="center"/>
              <w:rPr>
                <w:rFonts w:ascii="Times New Roman" w:hAnsi="Times New Roman" w:eastAsia="仿宋_GB2312"/>
                <w:b/>
                <w:bCs/>
                <w:sz w:val="24"/>
              </w:rPr>
            </w:pPr>
            <w:r>
              <w:rPr>
                <w:rFonts w:ascii="Times New Roman" w:hAnsi="Times New Roman" w:eastAsia="仿宋_GB2312"/>
                <w:b/>
                <w:bCs/>
                <w:sz w:val="24"/>
              </w:rPr>
              <w:t>表7-15 地表水环境影响评价自查表</w:t>
            </w:r>
          </w:p>
          <w:tbl>
            <w:tblPr>
              <w:tblStyle w:val="38"/>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39"/>
              <w:gridCol w:w="1478"/>
              <w:gridCol w:w="739"/>
              <w:gridCol w:w="519"/>
              <w:gridCol w:w="1647"/>
              <w:gridCol w:w="2165"/>
              <w:gridCol w:w="177"/>
              <w:gridCol w:w="238"/>
              <w:gridCol w:w="81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blHeader/>
              </w:trPr>
              <w:tc>
                <w:tcPr>
                  <w:tcW w:w="1239" w:type="pct"/>
                  <w:gridSpan w:val="2"/>
                  <w:shd w:val="clear" w:color="auto" w:fill="auto"/>
                  <w:noWrap/>
                  <w:vAlign w:val="center"/>
                </w:tcPr>
                <w:p>
                  <w:pPr>
                    <w:widowControl/>
                    <w:adjustRightInd w:val="0"/>
                    <w:snapToGrid w:val="0"/>
                    <w:jc w:val="center"/>
                    <w:rPr>
                      <w:rFonts w:ascii="Times New Roman" w:hAnsi="Times New Roman" w:eastAsia="仿宋_GB2312"/>
                      <w:b/>
                      <w:bCs/>
                      <w:kern w:val="0"/>
                      <w:sz w:val="22"/>
                    </w:rPr>
                  </w:pPr>
                  <w:r>
                    <w:rPr>
                      <w:rFonts w:ascii="Times New Roman" w:hAnsi="Times New Roman" w:eastAsia="仿宋_GB2312"/>
                      <w:b/>
                      <w:bCs/>
                      <w:kern w:val="0"/>
                      <w:sz w:val="22"/>
                    </w:rPr>
                    <w:t>工作内容</w:t>
                  </w:r>
                </w:p>
              </w:tc>
              <w:tc>
                <w:tcPr>
                  <w:tcW w:w="3761" w:type="pct"/>
                  <w:gridSpan w:val="7"/>
                  <w:shd w:val="clear" w:color="auto" w:fill="auto"/>
                  <w:vAlign w:val="center"/>
                </w:tcPr>
                <w:p>
                  <w:pPr>
                    <w:widowControl/>
                    <w:adjustRightInd w:val="0"/>
                    <w:snapToGrid w:val="0"/>
                    <w:jc w:val="center"/>
                    <w:rPr>
                      <w:rFonts w:ascii="Times New Roman" w:hAnsi="Times New Roman" w:eastAsia="仿宋_GB2312"/>
                      <w:b/>
                      <w:bCs/>
                      <w:kern w:val="0"/>
                      <w:sz w:val="22"/>
                    </w:rPr>
                  </w:pPr>
                  <w:r>
                    <w:rPr>
                      <w:rFonts w:ascii="Times New Roman" w:hAnsi="Times New Roman" w:eastAsia="仿宋_GB2312"/>
                      <w:b/>
                      <w:bCs/>
                      <w:kern w:val="0"/>
                      <w:sz w:val="22"/>
                    </w:rPr>
                    <w:t>自查项目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影响识别</w:t>
                  </w: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影响类型</w:t>
                  </w:r>
                </w:p>
              </w:tc>
              <w:tc>
                <w:tcPr>
                  <w:tcW w:w="3761" w:type="pct"/>
                  <w:gridSpan w:val="7"/>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水污染影响型 √；水文要素影响型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水环境保护目标</w:t>
                  </w:r>
                </w:p>
              </w:tc>
              <w:tc>
                <w:tcPr>
                  <w:tcW w:w="3761" w:type="pct"/>
                  <w:gridSpan w:val="7"/>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饮用水水源保护区 □；饮用水取水口 □；涉水的自然保护区 □；重要湿地 □；重点保护与珍稀水生生物的栖息地 □；重要水生生物的自然产卵场及索饵场、越冬场和洄游通道、天然渔场等渔业水体 □；涉水的风景名胜区 □；其他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影响途径</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水污染影响型</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水文要素影响型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直接排放 □；间接排放 √；其他 □</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水温 □；径流 □；水域面积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影响因子</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持久性污染物 □；有毒有害污染物√；非持久性污染物√；pH值□；热污染 □；富营养化√；其他□</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水温 □；水位(水深)  □；流速 □；流量 □；其他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9" w:type="pct"/>
                  <w:gridSpan w:val="2"/>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评价等级</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水污染影响型</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水文要素影响型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9" w:type="pct"/>
                  <w:gridSpan w:val="2"/>
                  <w:vMerge w:val="continue"/>
                  <w:vAlign w:val="center"/>
                </w:tcPr>
                <w:p>
                  <w:pPr>
                    <w:widowControl/>
                    <w:adjustRightInd w:val="0"/>
                    <w:snapToGrid w:val="0"/>
                    <w:jc w:val="center"/>
                    <w:rPr>
                      <w:rFonts w:ascii="Times New Roman" w:hAnsi="Times New Roman" w:eastAsia="仿宋_GB2312"/>
                      <w:kern w:val="0"/>
                      <w:sz w:val="22"/>
                    </w:rPr>
                  </w:pP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一级 □；二级 □；三级A □；三级B √</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一级 □；二级 □；三级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现状调查</w:t>
                  </w: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区域污染源</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调查项目</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数据来源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已建 □；在建 □；拟建 □；其他 □</w:t>
                  </w:r>
                </w:p>
              </w:tc>
              <w:tc>
                <w:tcPr>
                  <w:tcW w:w="1011" w:type="pct"/>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拟替代污染源 □</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排污许可证 □；环评 □；环保验收 □；既有实测  □；现场监测 □；入河排放口数据 □；其他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受影响水体水环境质量</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调查时期</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数据来源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1783" w:type="pct"/>
                  <w:gridSpan w:val="3"/>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丰水期 □；平水期 □；枯水期 □；冰封期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春季 □；夏季 □；秋季 □；冬季 □</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生态环境保护主管部门□；补充监测□；其他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区域水资源开发利用状况</w:t>
                  </w:r>
                </w:p>
              </w:tc>
              <w:tc>
                <w:tcPr>
                  <w:tcW w:w="3761" w:type="pct"/>
                  <w:gridSpan w:val="7"/>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未开发 □；开发量40%以下 □；开发量40%以上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水文情势调查</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调查时期</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数据来源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1783" w:type="pct"/>
                  <w:gridSpan w:val="3"/>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丰水期 □；平水期 □；枯水期 □；冰封期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春季 □；夏季 □；秋季 □；冬季 □</w:t>
                  </w:r>
                </w:p>
              </w:tc>
              <w:tc>
                <w:tcPr>
                  <w:tcW w:w="1978" w:type="pct"/>
                  <w:gridSpan w:val="4"/>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水行政主管部门 □；补充监测 □；其他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shd w:val="clear" w:color="auto" w:fill="auto"/>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补充监测</w:t>
                  </w:r>
                </w:p>
              </w:tc>
              <w:tc>
                <w:tcPr>
                  <w:tcW w:w="1783" w:type="pct"/>
                  <w:gridSpan w:val="3"/>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调查时期</w:t>
                  </w:r>
                </w:p>
              </w:tc>
              <w:tc>
                <w:tcPr>
                  <w:tcW w:w="1366" w:type="pct"/>
                  <w:gridSpan w:val="2"/>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监测因子</w:t>
                  </w:r>
                </w:p>
              </w:tc>
              <w:tc>
                <w:tcPr>
                  <w:tcW w:w="611" w:type="pct"/>
                  <w:gridSpan w:val="2"/>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监测断面或点位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shd w:val="clear" w:color="auto" w:fill="auto"/>
                  <w:vAlign w:val="center"/>
                </w:tcPr>
                <w:p>
                  <w:pPr>
                    <w:widowControl/>
                    <w:adjustRightInd w:val="0"/>
                    <w:snapToGrid w:val="0"/>
                    <w:jc w:val="center"/>
                    <w:rPr>
                      <w:rFonts w:ascii="Times New Roman" w:hAnsi="Times New Roman" w:eastAsia="仿宋_GB2312"/>
                      <w:kern w:val="0"/>
                      <w:sz w:val="22"/>
                    </w:rPr>
                  </w:pPr>
                </w:p>
              </w:tc>
              <w:tc>
                <w:tcPr>
                  <w:tcW w:w="908" w:type="pct"/>
                  <w:vMerge w:val="continue"/>
                  <w:shd w:val="clear" w:color="auto" w:fill="auto"/>
                  <w:vAlign w:val="center"/>
                </w:tcPr>
                <w:p>
                  <w:pPr>
                    <w:widowControl/>
                    <w:adjustRightInd w:val="0"/>
                    <w:snapToGrid w:val="0"/>
                    <w:jc w:val="center"/>
                    <w:rPr>
                      <w:rFonts w:ascii="Times New Roman" w:hAnsi="Times New Roman" w:eastAsia="仿宋_GB2312"/>
                      <w:kern w:val="0"/>
                      <w:sz w:val="22"/>
                    </w:rPr>
                  </w:pPr>
                </w:p>
              </w:tc>
              <w:tc>
                <w:tcPr>
                  <w:tcW w:w="1783" w:type="pct"/>
                  <w:gridSpan w:val="3"/>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丰水期□；平水期□；枯水期 □；冰封期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春季 □；夏季 □；秋季 □；冬季 □</w:t>
                  </w:r>
                </w:p>
              </w:tc>
              <w:tc>
                <w:tcPr>
                  <w:tcW w:w="1366" w:type="pct"/>
                  <w:gridSpan w:val="2"/>
                  <w:shd w:val="clear" w:color="auto" w:fill="auto"/>
                  <w:noWrap/>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pH、COD、氨氮、总磷、氟化物</w:t>
                  </w:r>
                </w:p>
              </w:tc>
              <w:tc>
                <w:tcPr>
                  <w:tcW w:w="611" w:type="pct"/>
                  <w:gridSpan w:val="2"/>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监测断面或点位个数（）个</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现状评价</w:t>
                  </w: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评价范围</w:t>
                  </w:r>
                </w:p>
              </w:tc>
              <w:tc>
                <w:tcPr>
                  <w:tcW w:w="3761" w:type="pct"/>
                  <w:gridSpan w:val="7"/>
                  <w:shd w:val="clear" w:color="auto" w:fill="auto"/>
                  <w:noWrap/>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河流:长度（）km；湖库、河口及近岸海城：面积（）km</w:t>
                  </w:r>
                  <w:r>
                    <w:rPr>
                      <w:rFonts w:ascii="Times New Roman" w:hAnsi="Times New Roman" w:eastAsia="仿宋_GB2312"/>
                      <w:kern w:val="0"/>
                      <w:sz w:val="22"/>
                      <w:vertAlign w:val="superscript"/>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评价因子</w:t>
                  </w:r>
                </w:p>
              </w:tc>
              <w:tc>
                <w:tcPr>
                  <w:tcW w:w="3761" w:type="pct"/>
                  <w:gridSpan w:val="7"/>
                  <w:shd w:val="clear" w:color="auto" w:fill="auto"/>
                  <w:noWrap/>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szCs w:val="21"/>
                    </w:rPr>
                    <w:t>水温、pH、COD</w:t>
                  </w:r>
                  <w:r>
                    <w:rPr>
                      <w:rFonts w:ascii="Times New Roman" w:hAnsi="Times New Roman" w:eastAsia="仿宋_GB2312"/>
                      <w:szCs w:val="21"/>
                      <w:vertAlign w:val="subscript"/>
                    </w:rPr>
                    <w:t>Cr</w:t>
                  </w:r>
                  <w:r>
                    <w:rPr>
                      <w:rFonts w:ascii="Times New Roman" w:hAnsi="Times New Roman" w:eastAsia="仿宋_GB2312"/>
                      <w:szCs w:val="21"/>
                    </w:rPr>
                    <w:t>、SS、氨氮、总氮、总磷、氟化物</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评价标准</w:t>
                  </w:r>
                </w:p>
              </w:tc>
              <w:tc>
                <w:tcPr>
                  <w:tcW w:w="3761" w:type="pct"/>
                  <w:gridSpan w:val="7"/>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河流、湖库、河口：Ⅰ类 □；Ⅱ类√；Ⅲ类 □；Ⅳ类□；Ⅴ类□</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近岸海域：第一类 □；第二类 □；第三类 □；第四类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规划年评价标准（）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评价时期</w:t>
                  </w:r>
                </w:p>
              </w:tc>
              <w:tc>
                <w:tcPr>
                  <w:tcW w:w="3761" w:type="pct"/>
                  <w:gridSpan w:val="7"/>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丰水期□；平水期□；枯水期 □；冰封期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春季 □；夏季 □；秋季 □；冬季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评价结论</w:t>
                  </w:r>
                </w:p>
              </w:tc>
              <w:tc>
                <w:tcPr>
                  <w:tcW w:w="3046" w:type="pct"/>
                  <w:gridSpan w:val="4"/>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水环境功能区或水功能区、近岸海域环境功能区水质达标状况 □：达标 □；不达标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水环境控制单元或断面水质达标状况 □：达标 □；不达标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水环境保护目标质量状况 □：达标 □；不达标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对照断面、控制断面等代表性断面的水质状况 □：达标 □；不达标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底泥污染评价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水资源与开发利用程度及其水文情势评价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水环境质量回顾评价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流城(区域)水资源(包括水能资源)与开发利用总体状况、生态流量管理要求与现状满足程度、建设项目占用水域空间的水流状况与河湖演变状况 □</w:t>
                  </w:r>
                </w:p>
              </w:tc>
              <w:tc>
                <w:tcPr>
                  <w:tcW w:w="715" w:type="pct"/>
                  <w:gridSpan w:val="3"/>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达标区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不达标区□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影响预测</w:t>
                  </w: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预测范围</w:t>
                  </w:r>
                </w:p>
              </w:tc>
              <w:tc>
                <w:tcPr>
                  <w:tcW w:w="3761" w:type="pct"/>
                  <w:gridSpan w:val="7"/>
                  <w:shd w:val="clear" w:color="auto" w:fill="auto"/>
                  <w:noWrap/>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河流：长度（）km；湖库、河口及近岸海城：面积（）km</w:t>
                  </w:r>
                  <w:r>
                    <w:rPr>
                      <w:rFonts w:ascii="Times New Roman" w:hAnsi="Times New Roman" w:eastAsia="仿宋_GB2312"/>
                      <w:kern w:val="0"/>
                      <w:sz w:val="22"/>
                      <w:vertAlign w:val="superscript"/>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预测因子</w:t>
                  </w:r>
                </w:p>
              </w:tc>
              <w:tc>
                <w:tcPr>
                  <w:tcW w:w="3761" w:type="pct"/>
                  <w:gridSpan w:val="7"/>
                  <w:shd w:val="clear" w:color="auto" w:fill="auto"/>
                  <w:noWrap/>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预测时期</w:t>
                  </w:r>
                </w:p>
              </w:tc>
              <w:tc>
                <w:tcPr>
                  <w:tcW w:w="3761" w:type="pct"/>
                  <w:gridSpan w:val="7"/>
                  <w:shd w:val="clear" w:color="auto" w:fill="auto"/>
                  <w:noWrap/>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丰水期 □；平水期 □；枯水期 □；冰封期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春季 □；夏季 □；秋季 □；冬季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设计水文条件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预测情景</w:t>
                  </w:r>
                </w:p>
              </w:tc>
              <w:tc>
                <w:tcPr>
                  <w:tcW w:w="3761" w:type="pct"/>
                  <w:gridSpan w:val="7"/>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建设期 □；生产运行期 □；服务期满后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正常工况□；非正常工况□</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污染控制和减缓实施方案□</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区(流)域坏境质量改善目标要求情景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预测方法</w:t>
                  </w:r>
                </w:p>
              </w:tc>
              <w:tc>
                <w:tcPr>
                  <w:tcW w:w="3761" w:type="pct"/>
                  <w:gridSpan w:val="7"/>
                  <w:shd w:val="clear" w:color="auto" w:fill="auto"/>
                  <w:noWrap/>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数值解□；解析解 □；其他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导则推荐模式 □；其他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影响评价</w:t>
                  </w:r>
                </w:p>
              </w:tc>
              <w:tc>
                <w:tcPr>
                  <w:tcW w:w="908" w:type="pct"/>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水污染控制和水环境影响减缓措施有效性评价</w:t>
                  </w:r>
                </w:p>
              </w:tc>
              <w:tc>
                <w:tcPr>
                  <w:tcW w:w="3761" w:type="pct"/>
                  <w:gridSpan w:val="7"/>
                  <w:shd w:val="clear" w:color="auto" w:fill="auto"/>
                  <w:noWrap/>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区(流)域水环境质量改善目标 □；替代削减源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水环境影响评价</w:t>
                  </w:r>
                </w:p>
              </w:tc>
              <w:tc>
                <w:tcPr>
                  <w:tcW w:w="3761" w:type="pct"/>
                  <w:gridSpan w:val="7"/>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排放口混合区外满足水环境管理要求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水环境功能区或水功能区、近岸海域环境功能区水质达标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满足水环境保护目标水域水环境质量要求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水环境控制单元或断面水质达标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满足重点水污染物排放总量控制指标要求，重点行业建设项目，主要污染物排放满足等量或减量替代要求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满足区(流)域水环境质量改善目标要求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水文要素影响型建设项目同时应包括水文情势变化评价、主要水文特征值影响评论，生态流量符合性评价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对于新设或调整入河(湖库、近岸海域)排放口的建设项目，应包括排放口设置的环境合理性评价 □</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满足生态保护红线、水环境质量底线、资源利用上线和环境准入清单管理要求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污染源排放量核算</w:t>
                  </w:r>
                </w:p>
              </w:tc>
              <w:tc>
                <w:tcPr>
                  <w:tcW w:w="772" w:type="pct"/>
                  <w:gridSpan w:val="2"/>
                  <w:shd w:val="clear" w:color="auto" w:fill="auto"/>
                  <w:noWrap/>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污染物名称</w:t>
                  </w: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排放量/(</w:t>
                  </w:r>
                  <w:r>
                    <w:rPr>
                      <w:rFonts w:hint="eastAsia" w:ascii="Times New Roman" w:hAnsi="Times New Roman" w:eastAsia="仿宋_GB2312"/>
                      <w:kern w:val="0"/>
                      <w:szCs w:val="21"/>
                    </w:rPr>
                    <w:t>t</w:t>
                  </w:r>
                  <w:r>
                    <w:rPr>
                      <w:rFonts w:ascii="Times New Roman" w:hAnsi="Times New Roman" w:eastAsia="仿宋_GB2312"/>
                      <w:kern w:val="0"/>
                      <w:szCs w:val="21"/>
                    </w:rPr>
                    <w:t>/a)</w:t>
                  </w:r>
                </w:p>
              </w:tc>
              <w:tc>
                <w:tcPr>
                  <w:tcW w:w="1978" w:type="pct"/>
                  <w:gridSpan w:val="4"/>
                  <w:shd w:val="clear" w:color="auto" w:fill="auto"/>
                  <w:noWrap/>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排放浓度/(mg/L)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szCs w:val="21"/>
                    </w:rPr>
                    <w:t>COD</w:t>
                  </w:r>
                </w:p>
              </w:tc>
              <w:tc>
                <w:tcPr>
                  <w:tcW w:w="1011" w:type="pct"/>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color w:val="000000"/>
                      <w:kern w:val="0"/>
                      <w:szCs w:val="21"/>
                    </w:rPr>
                    <w:t>0.08484</w:t>
                  </w:r>
                </w:p>
              </w:tc>
              <w:tc>
                <w:tcPr>
                  <w:tcW w:w="1978" w:type="pct"/>
                  <w:gridSpan w:val="4"/>
                  <w:shd w:val="clear" w:color="auto" w:fill="auto"/>
                  <w:noWrap/>
                </w:tcPr>
                <w:p>
                  <w:pPr>
                    <w:jc w:val="center"/>
                    <w:rPr>
                      <w:rFonts w:ascii="Times New Roman" w:hAnsi="Times New Roman" w:eastAsia="仿宋_GB2312"/>
                      <w:szCs w:val="21"/>
                    </w:rPr>
                  </w:pPr>
                  <w:r>
                    <w:rPr>
                      <w:rFonts w:hint="eastAsia" w:ascii="Times New Roman" w:hAnsi="Times New Roman" w:eastAsia="仿宋_GB2312"/>
                      <w:szCs w:val="21"/>
                    </w:rPr>
                    <w:t>3</w:t>
                  </w:r>
                  <w:r>
                    <w:rPr>
                      <w:rFonts w:ascii="Times New Roman" w:hAnsi="Times New Roman" w:eastAsia="仿宋_GB2312"/>
                      <w:szCs w:val="21"/>
                    </w:rPr>
                    <w:t>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szCs w:val="21"/>
                    </w:rPr>
                    <w:t>SS</w:t>
                  </w:r>
                </w:p>
              </w:tc>
              <w:tc>
                <w:tcPr>
                  <w:tcW w:w="1011" w:type="pct"/>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color w:val="000000"/>
                      <w:kern w:val="0"/>
                      <w:szCs w:val="21"/>
                    </w:rPr>
                    <w:t>0.01697</w:t>
                  </w:r>
                </w:p>
              </w:tc>
              <w:tc>
                <w:tcPr>
                  <w:tcW w:w="1978" w:type="pct"/>
                  <w:gridSpan w:val="4"/>
                  <w:shd w:val="clear" w:color="auto" w:fill="auto"/>
                  <w:noWrap/>
                </w:tcPr>
                <w:p>
                  <w:pPr>
                    <w:jc w:val="center"/>
                    <w:rPr>
                      <w:rFonts w:ascii="Times New Roman" w:hAnsi="Times New Roman" w:eastAsia="仿宋_GB2312"/>
                      <w:szCs w:val="21"/>
                    </w:rPr>
                  </w:pPr>
                  <w:r>
                    <w:rPr>
                      <w:rFonts w:hint="eastAsia" w:ascii="Times New Roman" w:hAnsi="Times New Roman" w:eastAsia="仿宋_GB2312"/>
                      <w:szCs w:val="21"/>
                    </w:rPr>
                    <w:t>6</w:t>
                  </w:r>
                  <w:r>
                    <w:rPr>
                      <w:rFonts w:ascii="Times New Roman" w:hAnsi="Times New Roman" w:eastAsia="仿宋_GB2312"/>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szCs w:val="21"/>
                    </w:rPr>
                    <w:t>氨氮</w:t>
                  </w:r>
                </w:p>
              </w:tc>
              <w:tc>
                <w:tcPr>
                  <w:tcW w:w="1011" w:type="pct"/>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color w:val="000000"/>
                      <w:kern w:val="0"/>
                      <w:szCs w:val="21"/>
                    </w:rPr>
                    <w:t>0.00566</w:t>
                  </w:r>
                </w:p>
              </w:tc>
              <w:tc>
                <w:tcPr>
                  <w:tcW w:w="1978" w:type="pct"/>
                  <w:gridSpan w:val="4"/>
                  <w:shd w:val="clear" w:color="auto" w:fill="auto"/>
                  <w:noWrap/>
                </w:tcPr>
                <w:p>
                  <w:pPr>
                    <w:jc w:val="center"/>
                    <w:rPr>
                      <w:rFonts w:ascii="Times New Roman" w:hAnsi="Times New Roman" w:eastAsia="仿宋_GB2312"/>
                      <w:szCs w:val="21"/>
                    </w:rPr>
                  </w:pPr>
                  <w:r>
                    <w:rPr>
                      <w:rFonts w:hint="eastAsia" w:ascii="Times New Roman" w:hAnsi="Times New Roman" w:eastAsia="仿宋_GB2312"/>
                      <w:szCs w:val="21"/>
                    </w:rPr>
                    <w:t>2</w:t>
                  </w:r>
                  <w:r>
                    <w:rPr>
                      <w:rFonts w:ascii="Times New Roman" w:hAnsi="Times New Roman" w:eastAsia="仿宋_GB2312"/>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szCs w:val="21"/>
                    </w:rPr>
                    <w:t>氟化物</w:t>
                  </w:r>
                </w:p>
              </w:tc>
              <w:tc>
                <w:tcPr>
                  <w:tcW w:w="1011" w:type="pct"/>
                  <w:shd w:val="clear" w:color="auto" w:fill="auto"/>
                  <w:noWrap/>
                  <w:vAlign w:val="center"/>
                </w:tcPr>
                <w:p>
                  <w:pPr>
                    <w:jc w:val="center"/>
                    <w:rPr>
                      <w:rFonts w:ascii="Times New Roman" w:hAnsi="Times New Roman" w:eastAsia="仿宋_GB2312"/>
                      <w:szCs w:val="21"/>
                    </w:rPr>
                  </w:pPr>
                  <w:r>
                    <w:rPr>
                      <w:rFonts w:hint="eastAsia" w:ascii="Times New Roman" w:hAnsi="Times New Roman" w:eastAsia="仿宋_GB2312"/>
                      <w:szCs w:val="21"/>
                    </w:rPr>
                    <w:t>0</w:t>
                  </w:r>
                  <w:r>
                    <w:rPr>
                      <w:rFonts w:ascii="Times New Roman" w:hAnsi="Times New Roman" w:eastAsia="仿宋_GB2312"/>
                      <w:szCs w:val="21"/>
                    </w:rPr>
                    <w:t>.00085</w:t>
                  </w:r>
                </w:p>
              </w:tc>
              <w:tc>
                <w:tcPr>
                  <w:tcW w:w="1978" w:type="pct"/>
                  <w:gridSpan w:val="4"/>
                  <w:shd w:val="clear" w:color="auto" w:fill="auto"/>
                  <w:noWrap/>
                </w:tcPr>
                <w:p>
                  <w:pPr>
                    <w:jc w:val="center"/>
                    <w:rPr>
                      <w:rFonts w:ascii="Times New Roman" w:hAnsi="Times New Roman" w:eastAsia="仿宋_GB2312"/>
                      <w:szCs w:val="21"/>
                    </w:rPr>
                  </w:pPr>
                  <w:r>
                    <w:rPr>
                      <w:rFonts w:hint="eastAsia" w:ascii="Times New Roman" w:hAnsi="Times New Roman" w:eastAsia="仿宋_GB2312"/>
                      <w:szCs w:val="21"/>
                    </w:rPr>
                    <w:t>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jc w:val="center"/>
                    <w:rPr>
                      <w:rFonts w:ascii="Times New Roman" w:hAnsi="Times New Roman" w:eastAsia="仿宋_GB2312"/>
                      <w:szCs w:val="21"/>
                    </w:rPr>
                  </w:pPr>
                  <w:r>
                    <w:rPr>
                      <w:rFonts w:ascii="Times New Roman" w:hAnsi="Times New Roman" w:eastAsia="仿宋_GB2312"/>
                      <w:szCs w:val="21"/>
                    </w:rPr>
                    <w:t>总磷</w:t>
                  </w:r>
                </w:p>
              </w:tc>
              <w:tc>
                <w:tcPr>
                  <w:tcW w:w="1011" w:type="pct"/>
                  <w:shd w:val="clear" w:color="auto" w:fill="auto"/>
                  <w:noWrap/>
                  <w:vAlign w:val="center"/>
                </w:tcPr>
                <w:p>
                  <w:pPr>
                    <w:jc w:val="center"/>
                    <w:rPr>
                      <w:rFonts w:ascii="Times New Roman" w:hAnsi="Times New Roman" w:eastAsia="仿宋_GB2312"/>
                      <w:szCs w:val="21"/>
                    </w:rPr>
                  </w:pPr>
                  <w:r>
                    <w:rPr>
                      <w:rFonts w:hint="eastAsia" w:ascii="Times New Roman" w:hAnsi="Times New Roman" w:eastAsia="仿宋_GB2312"/>
                      <w:szCs w:val="21"/>
                    </w:rPr>
                    <w:t>0</w:t>
                  </w:r>
                  <w:r>
                    <w:rPr>
                      <w:rFonts w:ascii="Times New Roman" w:hAnsi="Times New Roman" w:eastAsia="仿宋_GB2312"/>
                      <w:szCs w:val="21"/>
                    </w:rPr>
                    <w:t>.000002</w:t>
                  </w:r>
                </w:p>
              </w:tc>
              <w:tc>
                <w:tcPr>
                  <w:tcW w:w="1978" w:type="pct"/>
                  <w:gridSpan w:val="4"/>
                  <w:shd w:val="clear" w:color="auto" w:fill="auto"/>
                  <w:noWrap/>
                </w:tcPr>
                <w:p>
                  <w:pPr>
                    <w:jc w:val="center"/>
                    <w:rPr>
                      <w:rFonts w:ascii="Times New Roman" w:hAnsi="Times New Roman" w:eastAsia="仿宋_GB2312"/>
                      <w:szCs w:val="21"/>
                    </w:rPr>
                  </w:pPr>
                  <w:r>
                    <w:rPr>
                      <w:rFonts w:hint="eastAsia" w:ascii="Times New Roman" w:hAnsi="Times New Roman" w:eastAsia="仿宋_GB2312"/>
                      <w:szCs w:val="21"/>
                    </w:rPr>
                    <w:t>0</w:t>
                  </w:r>
                  <w:r>
                    <w:rPr>
                      <w:rFonts w:ascii="Times New Roman" w:hAnsi="Times New Roman" w:eastAsia="仿宋_GB2312"/>
                      <w:szCs w:val="21"/>
                    </w:rPr>
                    <w:t>.007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jc w:val="center"/>
                    <w:rPr>
                      <w:rFonts w:ascii="Times New Roman" w:hAnsi="Times New Roman" w:eastAsia="仿宋_GB2312"/>
                      <w:szCs w:val="21"/>
                    </w:rPr>
                  </w:pPr>
                  <w:r>
                    <w:rPr>
                      <w:rFonts w:hint="eastAsia" w:ascii="Times New Roman" w:hAnsi="Times New Roman" w:eastAsia="仿宋_GB2312"/>
                      <w:szCs w:val="21"/>
                    </w:rPr>
                    <w:t>L</w:t>
                  </w:r>
                  <w:r>
                    <w:rPr>
                      <w:rFonts w:ascii="Times New Roman" w:hAnsi="Times New Roman" w:eastAsia="仿宋_GB2312"/>
                      <w:szCs w:val="21"/>
                    </w:rPr>
                    <w:t>AS</w:t>
                  </w:r>
                </w:p>
              </w:tc>
              <w:tc>
                <w:tcPr>
                  <w:tcW w:w="1011" w:type="pct"/>
                  <w:shd w:val="clear" w:color="auto" w:fill="auto"/>
                  <w:noWrap/>
                  <w:vAlign w:val="center"/>
                </w:tcPr>
                <w:p>
                  <w:pPr>
                    <w:jc w:val="center"/>
                    <w:rPr>
                      <w:rFonts w:ascii="Times New Roman" w:hAnsi="Times New Roman" w:eastAsia="仿宋_GB2312"/>
                      <w:szCs w:val="21"/>
                    </w:rPr>
                  </w:pPr>
                  <w:r>
                    <w:rPr>
                      <w:rFonts w:hint="eastAsia" w:ascii="Times New Roman" w:hAnsi="Times New Roman" w:eastAsia="仿宋_GB2312"/>
                      <w:szCs w:val="21"/>
                    </w:rPr>
                    <w:t>0</w:t>
                  </w:r>
                  <w:r>
                    <w:rPr>
                      <w:rFonts w:ascii="Times New Roman" w:hAnsi="Times New Roman" w:eastAsia="仿宋_GB2312"/>
                      <w:szCs w:val="21"/>
                    </w:rPr>
                    <w:t>.00006</w:t>
                  </w:r>
                </w:p>
              </w:tc>
              <w:tc>
                <w:tcPr>
                  <w:tcW w:w="1978" w:type="pct"/>
                  <w:gridSpan w:val="4"/>
                  <w:shd w:val="clear" w:color="auto" w:fill="auto"/>
                  <w:noWrap/>
                </w:tcPr>
                <w:p>
                  <w:pPr>
                    <w:jc w:val="center"/>
                    <w:rPr>
                      <w:rFonts w:ascii="Times New Roman" w:hAnsi="Times New Roman" w:eastAsia="仿宋_GB2312"/>
                      <w:szCs w:val="21"/>
                    </w:rPr>
                  </w:pPr>
                  <w:r>
                    <w:rPr>
                      <w:rFonts w:hint="eastAsia" w:ascii="Times New Roman" w:hAnsi="Times New Roman" w:eastAsia="仿宋_GB2312"/>
                      <w:szCs w:val="21"/>
                    </w:rPr>
                    <w:t>0</w:t>
                  </w:r>
                  <w:r>
                    <w:rPr>
                      <w:rFonts w:ascii="Times New Roman" w:hAnsi="Times New Roman" w:eastAsia="仿宋_GB2312"/>
                      <w:szCs w:val="21"/>
                    </w:rPr>
                    <w:t>.212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替代源排放情况</w:t>
                  </w:r>
                </w:p>
              </w:tc>
              <w:tc>
                <w:tcPr>
                  <w:tcW w:w="454"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污染源名称</w:t>
                  </w:r>
                </w:p>
              </w:tc>
              <w:tc>
                <w:tcPr>
                  <w:tcW w:w="318" w:type="pct"/>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排污许可证编号</w:t>
                  </w: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污染物名称</w:t>
                  </w:r>
                </w:p>
              </w:tc>
              <w:tc>
                <w:tcPr>
                  <w:tcW w:w="1505" w:type="pct"/>
                  <w:gridSpan w:val="3"/>
                  <w:shd w:val="clear" w:color="auto" w:fill="auto"/>
                  <w:noWrap/>
                  <w:vAlign w:val="center"/>
                </w:tcPr>
                <w:p>
                  <w:pPr>
                    <w:widowControl/>
                    <w:jc w:val="center"/>
                    <w:rPr>
                      <w:rFonts w:ascii="Times New Roman" w:hAnsi="Times New Roman" w:eastAsia="仿宋_GB2312"/>
                      <w:kern w:val="0"/>
                      <w:sz w:val="22"/>
                    </w:rPr>
                  </w:pPr>
                  <w:r>
                    <w:rPr>
                      <w:rFonts w:ascii="Times New Roman" w:hAnsi="Times New Roman" w:eastAsia="仿宋_GB2312"/>
                      <w:sz w:val="22"/>
                    </w:rPr>
                    <w:t>排放量/(t/a)</w:t>
                  </w:r>
                </w:p>
              </w:tc>
              <w:tc>
                <w:tcPr>
                  <w:tcW w:w="473" w:type="pct"/>
                  <w:shd w:val="clear" w:color="auto" w:fill="auto"/>
                  <w:vAlign w:val="center"/>
                </w:tcPr>
                <w:p>
                  <w:pPr>
                    <w:jc w:val="center"/>
                    <w:rPr>
                      <w:rFonts w:ascii="Times New Roman" w:hAnsi="Times New Roman" w:eastAsia="仿宋_GB2312"/>
                      <w:sz w:val="22"/>
                    </w:rPr>
                  </w:pPr>
                  <w:r>
                    <w:rPr>
                      <w:rFonts w:ascii="Times New Roman" w:hAnsi="Times New Roman" w:eastAsia="仿宋_GB2312"/>
                      <w:sz w:val="22"/>
                    </w:rPr>
                    <w:t>排放浓度/(mg/L)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454"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w:t>
                  </w:r>
                </w:p>
              </w:tc>
              <w:tc>
                <w:tcPr>
                  <w:tcW w:w="318" w:type="pct"/>
                  <w:shd w:val="clear" w:color="auto" w:fill="auto"/>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w:t>
                  </w: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w:t>
                  </w:r>
                </w:p>
              </w:tc>
              <w:tc>
                <w:tcPr>
                  <w:tcW w:w="1505" w:type="pct"/>
                  <w:gridSpan w:val="3"/>
                  <w:shd w:val="clear" w:color="auto" w:fill="auto"/>
                  <w:noWrap/>
                  <w:vAlign w:val="bottom"/>
                </w:tcPr>
                <w:p>
                  <w:pPr>
                    <w:jc w:val="center"/>
                    <w:rPr>
                      <w:rFonts w:ascii="Times New Roman" w:hAnsi="Times New Roman" w:eastAsia="仿宋_GB2312"/>
                      <w:sz w:val="22"/>
                    </w:rPr>
                  </w:pPr>
                  <w:r>
                    <w:rPr>
                      <w:rFonts w:ascii="Times New Roman" w:hAnsi="Times New Roman" w:eastAsia="仿宋_GB2312"/>
                      <w:sz w:val="22"/>
                    </w:rPr>
                    <w:t>（）</w:t>
                  </w:r>
                </w:p>
              </w:tc>
              <w:tc>
                <w:tcPr>
                  <w:tcW w:w="473" w:type="pct"/>
                  <w:shd w:val="clear" w:color="auto" w:fill="auto"/>
                  <w:vAlign w:val="bottom"/>
                </w:tcPr>
                <w:p>
                  <w:pPr>
                    <w:jc w:val="center"/>
                    <w:rPr>
                      <w:rFonts w:ascii="Times New Roman" w:hAnsi="Times New Roman" w:eastAsia="仿宋_GB2312"/>
                      <w:sz w:val="22"/>
                    </w:rPr>
                  </w:pPr>
                  <w:r>
                    <w:rPr>
                      <w:rFonts w:ascii="Times New Roman" w:hAnsi="Times New Roman" w:eastAsia="仿宋_GB2312"/>
                      <w:sz w:val="22"/>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生态流量确定</w:t>
                  </w:r>
                </w:p>
              </w:tc>
              <w:tc>
                <w:tcPr>
                  <w:tcW w:w="3761" w:type="pct"/>
                  <w:gridSpan w:val="7"/>
                  <w:shd w:val="clear" w:color="auto" w:fill="auto"/>
                  <w:vAlign w:val="center"/>
                </w:tcPr>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生态流量:一般水期（）m</w:t>
                  </w:r>
                  <w:r>
                    <w:rPr>
                      <w:rFonts w:ascii="Times New Roman" w:hAnsi="Times New Roman" w:eastAsia="仿宋_GB2312"/>
                      <w:kern w:val="0"/>
                      <w:sz w:val="22"/>
                      <w:vertAlign w:val="superscript"/>
                    </w:rPr>
                    <w:t>3</w:t>
                  </w:r>
                  <w:r>
                    <w:rPr>
                      <w:rFonts w:ascii="Times New Roman" w:hAnsi="Times New Roman" w:eastAsia="仿宋_GB2312"/>
                      <w:kern w:val="0"/>
                      <w:sz w:val="22"/>
                    </w:rPr>
                    <w:t>/s；鱼类繁殖期（）m</w:t>
                  </w:r>
                  <w:r>
                    <w:rPr>
                      <w:rFonts w:ascii="Times New Roman" w:hAnsi="Times New Roman" w:eastAsia="仿宋_GB2312"/>
                      <w:kern w:val="0"/>
                      <w:sz w:val="22"/>
                      <w:vertAlign w:val="superscript"/>
                    </w:rPr>
                    <w:t>3</w:t>
                  </w:r>
                  <w:r>
                    <w:rPr>
                      <w:rFonts w:ascii="Times New Roman" w:hAnsi="Times New Roman" w:eastAsia="仿宋_GB2312"/>
                      <w:kern w:val="0"/>
                      <w:sz w:val="22"/>
                    </w:rPr>
                    <w:t>/s；其他（）m</w:t>
                  </w:r>
                  <w:r>
                    <w:rPr>
                      <w:rFonts w:ascii="Times New Roman" w:hAnsi="Times New Roman" w:eastAsia="仿宋_GB2312"/>
                      <w:kern w:val="0"/>
                      <w:sz w:val="22"/>
                      <w:vertAlign w:val="superscript"/>
                    </w:rPr>
                    <w:t>3</w:t>
                  </w:r>
                  <w:r>
                    <w:rPr>
                      <w:rFonts w:ascii="Times New Roman" w:hAnsi="Times New Roman" w:eastAsia="仿宋_GB2312"/>
                      <w:kern w:val="0"/>
                      <w:sz w:val="22"/>
                    </w:rPr>
                    <w:t>/s</w:t>
                  </w:r>
                </w:p>
                <w:p>
                  <w:pPr>
                    <w:widowControl/>
                    <w:adjustRightInd w:val="0"/>
                    <w:snapToGrid w:val="0"/>
                    <w:jc w:val="left"/>
                    <w:rPr>
                      <w:rFonts w:ascii="Times New Roman" w:hAnsi="Times New Roman" w:eastAsia="仿宋_GB2312"/>
                      <w:kern w:val="0"/>
                      <w:sz w:val="22"/>
                    </w:rPr>
                  </w:pPr>
                  <w:r>
                    <w:rPr>
                      <w:rFonts w:ascii="Times New Roman" w:hAnsi="Times New Roman" w:eastAsia="仿宋_GB2312"/>
                      <w:kern w:val="0"/>
                      <w:sz w:val="22"/>
                    </w:rPr>
                    <w:t>生态水位：一般水期（）m；鱼类繁殖期（）m；其他（）m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防治措施</w:t>
                  </w: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环保措施</w:t>
                  </w:r>
                </w:p>
              </w:tc>
              <w:tc>
                <w:tcPr>
                  <w:tcW w:w="3761" w:type="pct"/>
                  <w:gridSpan w:val="7"/>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污水处理设施 √；水文减缓设施 □；生态流量保障设施 □；区域削减 □；依托其他工程措施 □；其他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restar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监测计划</w:t>
                  </w:r>
                </w:p>
              </w:tc>
              <w:tc>
                <w:tcPr>
                  <w:tcW w:w="772" w:type="pct"/>
                  <w:gridSpan w:val="2"/>
                  <w:shd w:val="clear" w:color="auto" w:fill="auto"/>
                  <w:noWrap/>
                  <w:vAlign w:val="center"/>
                </w:tcPr>
                <w:p>
                  <w:pPr>
                    <w:widowControl/>
                    <w:adjustRightInd w:val="0"/>
                    <w:snapToGrid w:val="0"/>
                    <w:jc w:val="center"/>
                    <w:rPr>
                      <w:rFonts w:ascii="Times New Roman" w:hAnsi="Times New Roman" w:eastAsia="仿宋_GB2312"/>
                      <w:kern w:val="0"/>
                      <w:sz w:val="22"/>
                    </w:rPr>
                  </w:pP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环境质量</w:t>
                  </w:r>
                </w:p>
              </w:tc>
              <w:tc>
                <w:tcPr>
                  <w:tcW w:w="1978" w:type="pct"/>
                  <w:gridSpan w:val="4"/>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污染源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监测方式</w:t>
                  </w: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手动 □；自动 □；无监测 √</w:t>
                  </w:r>
                </w:p>
              </w:tc>
              <w:tc>
                <w:tcPr>
                  <w:tcW w:w="1978" w:type="pct"/>
                  <w:gridSpan w:val="4"/>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手动 √；自动 □；无监测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监测点位</w:t>
                  </w: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w:t>
                  </w:r>
                </w:p>
              </w:tc>
              <w:tc>
                <w:tcPr>
                  <w:tcW w:w="1978" w:type="pct"/>
                  <w:gridSpan w:val="4"/>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废水总排放口</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vMerge w:val="continue"/>
                  <w:vAlign w:val="center"/>
                </w:tcPr>
                <w:p>
                  <w:pPr>
                    <w:widowControl/>
                    <w:adjustRightInd w:val="0"/>
                    <w:snapToGrid w:val="0"/>
                    <w:jc w:val="center"/>
                    <w:rPr>
                      <w:rFonts w:ascii="Times New Roman" w:hAnsi="Times New Roman" w:eastAsia="仿宋_GB2312"/>
                      <w:kern w:val="0"/>
                      <w:sz w:val="22"/>
                    </w:rPr>
                  </w:pPr>
                </w:p>
              </w:tc>
              <w:tc>
                <w:tcPr>
                  <w:tcW w:w="772" w:type="pct"/>
                  <w:gridSpan w:val="2"/>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监测因子</w:t>
                  </w:r>
                </w:p>
              </w:tc>
              <w:tc>
                <w:tcPr>
                  <w:tcW w:w="1011"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w:t>
                  </w:r>
                </w:p>
              </w:tc>
              <w:tc>
                <w:tcPr>
                  <w:tcW w:w="1978" w:type="pct"/>
                  <w:gridSpan w:val="4"/>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流量、pH、COD、氨氮、SS、总磷、总氮、氟化物</w:t>
                  </w:r>
                  <w:r>
                    <w:rPr>
                      <w:rFonts w:hint="eastAsia" w:ascii="Times New Roman" w:hAnsi="Times New Roman" w:eastAsia="仿宋_GB2312"/>
                      <w:kern w:val="0"/>
                      <w:sz w:val="22"/>
                    </w:rPr>
                    <w:t>、L</w:t>
                  </w:r>
                  <w:r>
                    <w:rPr>
                      <w:rFonts w:ascii="Times New Roman" w:hAnsi="Times New Roman" w:eastAsia="仿宋_GB2312"/>
                      <w:kern w:val="0"/>
                      <w:sz w:val="22"/>
                    </w:rPr>
                    <w:t>AS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331" w:type="pct"/>
                  <w:vMerge w:val="continue"/>
                  <w:vAlign w:val="center"/>
                </w:tcPr>
                <w:p>
                  <w:pPr>
                    <w:widowControl/>
                    <w:adjustRightInd w:val="0"/>
                    <w:snapToGrid w:val="0"/>
                    <w:jc w:val="center"/>
                    <w:rPr>
                      <w:rFonts w:ascii="Times New Roman" w:hAnsi="Times New Roman" w:eastAsia="仿宋_GB2312"/>
                      <w:kern w:val="0"/>
                      <w:sz w:val="22"/>
                    </w:rPr>
                  </w:pPr>
                </w:p>
              </w:tc>
              <w:tc>
                <w:tcPr>
                  <w:tcW w:w="908" w:type="pct"/>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污染物排放清单</w:t>
                  </w:r>
                </w:p>
              </w:tc>
              <w:tc>
                <w:tcPr>
                  <w:tcW w:w="3761" w:type="pct"/>
                  <w:gridSpan w:val="7"/>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39" w:type="pct"/>
                  <w:gridSpan w:val="2"/>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评价结论</w:t>
                  </w:r>
                </w:p>
              </w:tc>
              <w:tc>
                <w:tcPr>
                  <w:tcW w:w="3761" w:type="pct"/>
                  <w:gridSpan w:val="7"/>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可以接受 √；不可以接受 □</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000" w:type="pct"/>
                  <w:gridSpan w:val="9"/>
                  <w:shd w:val="clear" w:color="auto" w:fill="auto"/>
                  <w:noWrap/>
                  <w:vAlign w:val="center"/>
                </w:tcPr>
                <w:p>
                  <w:pPr>
                    <w:widowControl/>
                    <w:adjustRightInd w:val="0"/>
                    <w:snapToGrid w:val="0"/>
                    <w:jc w:val="center"/>
                    <w:rPr>
                      <w:rFonts w:ascii="Times New Roman" w:hAnsi="Times New Roman" w:eastAsia="仿宋_GB2312"/>
                      <w:kern w:val="0"/>
                      <w:sz w:val="22"/>
                    </w:rPr>
                  </w:pPr>
                  <w:r>
                    <w:rPr>
                      <w:rFonts w:ascii="Times New Roman" w:hAnsi="Times New Roman" w:eastAsia="仿宋_GB2312"/>
                      <w:kern w:val="0"/>
                      <w:sz w:val="22"/>
                    </w:rPr>
                    <w:t>注:“□”为勾选项,可√;“（）为内容填写项；“备注”为其他补充内容。</w:t>
                  </w:r>
                </w:p>
              </w:tc>
            </w:tr>
          </w:tbl>
          <w:p>
            <w:pPr>
              <w:adjustRightInd w:val="0"/>
              <w:snapToGrid w:val="0"/>
              <w:spacing w:line="500" w:lineRule="exact"/>
              <w:ind w:firstLine="480" w:firstLineChars="200"/>
              <w:outlineLvl w:val="0"/>
              <w:rPr>
                <w:rFonts w:ascii="Times New Roman" w:hAnsi="Times New Roman" w:eastAsia="仿宋_GB2312"/>
                <w:color w:val="000000"/>
                <w:sz w:val="24"/>
                <w:szCs w:val="24"/>
              </w:rPr>
            </w:pPr>
            <w:r>
              <w:rPr>
                <w:rFonts w:ascii="Times New Roman" w:hAnsi="Times New Roman" w:eastAsia="仿宋_GB2312"/>
                <w:color w:val="000000"/>
                <w:sz w:val="24"/>
                <w:szCs w:val="24"/>
              </w:rPr>
              <w:t>（3）固废环境影响分析</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1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①</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固体废物处置去向</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项目产生的生活垃圾、</w:t>
            </w:r>
            <w:r>
              <w:rPr>
                <w:rFonts w:hint="eastAsia" w:ascii="Times New Roman" w:hAnsi="Times New Roman" w:eastAsia="仿宋_GB2312"/>
                <w:color w:val="000000"/>
                <w:sz w:val="24"/>
                <w:szCs w:val="24"/>
              </w:rPr>
              <w:t>废反渗透膜（设备进水为自来水）、藻类及斑马鱼尸体</w:t>
            </w:r>
            <w:r>
              <w:rPr>
                <w:rFonts w:ascii="Times New Roman" w:hAnsi="Times New Roman" w:eastAsia="仿宋_GB2312"/>
                <w:color w:val="000000"/>
                <w:sz w:val="24"/>
                <w:szCs w:val="24"/>
              </w:rPr>
              <w:t>由环卫部门统一清运；</w:t>
            </w:r>
            <w:r>
              <w:rPr>
                <w:rFonts w:hint="eastAsia" w:ascii="Times New Roman" w:hAnsi="Times New Roman" w:eastAsia="仿宋_GB2312"/>
                <w:color w:val="000000"/>
                <w:sz w:val="24"/>
                <w:szCs w:val="24"/>
              </w:rPr>
              <w:t>实验过程中产生的废玻璃器皿、废移液枪枪头等废实验耗材，废试剂瓶，废药剂包装，废固体、液体样品，实验室科研、检测废液及前两道清洗废液，过期化学品，废气处理过程中产生的废活性炭</w:t>
            </w:r>
            <w:r>
              <w:rPr>
                <w:rFonts w:ascii="Times New Roman" w:hAnsi="Times New Roman" w:eastAsia="仿宋_GB2312"/>
                <w:color w:val="000000"/>
                <w:sz w:val="24"/>
                <w:szCs w:val="24"/>
              </w:rPr>
              <w:t>作为危险废弃物处置，委托有资质的单位定期清运、处置。</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2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②</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w:t>
            </w:r>
            <w:r>
              <w:rPr>
                <w:rFonts w:hint="eastAsia" w:ascii="Times New Roman" w:hAnsi="Times New Roman" w:eastAsia="仿宋_GB2312"/>
                <w:color w:val="000000"/>
                <w:sz w:val="24"/>
                <w:szCs w:val="24"/>
              </w:rPr>
              <w:t>实验室</w:t>
            </w:r>
            <w:r>
              <w:rPr>
                <w:rFonts w:ascii="Times New Roman" w:hAnsi="Times New Roman" w:eastAsia="仿宋_GB2312"/>
                <w:color w:val="000000"/>
                <w:sz w:val="24"/>
                <w:szCs w:val="24"/>
              </w:rPr>
              <w:t>危险废物</w:t>
            </w:r>
            <w:r>
              <w:rPr>
                <w:rFonts w:hint="eastAsia" w:ascii="Times New Roman" w:hAnsi="Times New Roman" w:eastAsia="仿宋_GB2312"/>
                <w:color w:val="000000"/>
                <w:sz w:val="24"/>
                <w:szCs w:val="24"/>
              </w:rPr>
              <w:t>分类</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投放、</w:t>
            </w:r>
            <w:r>
              <w:rPr>
                <w:rFonts w:ascii="Times New Roman" w:hAnsi="Times New Roman" w:eastAsia="仿宋_GB2312"/>
                <w:color w:val="000000"/>
                <w:sz w:val="24"/>
                <w:szCs w:val="24"/>
              </w:rPr>
              <w:t>暂存、</w:t>
            </w:r>
            <w:r>
              <w:rPr>
                <w:rFonts w:hint="eastAsia" w:ascii="Times New Roman" w:hAnsi="Times New Roman" w:eastAsia="仿宋_GB2312"/>
                <w:color w:val="000000"/>
                <w:sz w:val="24"/>
                <w:szCs w:val="24"/>
              </w:rPr>
              <w:t>收运</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贮存、处置利用规范</w:t>
            </w:r>
            <w:r>
              <w:rPr>
                <w:rFonts w:ascii="Times New Roman" w:hAnsi="Times New Roman" w:eastAsia="仿宋_GB2312"/>
                <w:color w:val="000000"/>
                <w:sz w:val="24"/>
                <w:szCs w:val="24"/>
              </w:rPr>
              <w:t>分析</w:t>
            </w:r>
          </w:p>
          <w:p>
            <w:pPr>
              <w:adjustRightInd w:val="0"/>
              <w:snapToGrid w:val="0"/>
              <w:spacing w:line="500" w:lineRule="exact"/>
              <w:ind w:firstLine="480" w:firstLineChars="200"/>
              <w:outlineLvl w:val="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rPr>
              <w:t>按照《南京市实验室危险废物污染防治工作指导手册（试行）》（宁环办[</w:t>
            </w:r>
            <w:r>
              <w:rPr>
                <w:rFonts w:ascii="Times New Roman" w:hAnsi="Times New Roman" w:eastAsia="仿宋_GB2312"/>
                <w:bCs/>
                <w:color w:val="000000"/>
                <w:sz w:val="24"/>
                <w:szCs w:val="24"/>
              </w:rPr>
              <w:t>2020]25</w:t>
            </w:r>
            <w:r>
              <w:rPr>
                <w:rFonts w:hint="eastAsia" w:ascii="Times New Roman" w:hAnsi="Times New Roman" w:eastAsia="仿宋_GB2312"/>
                <w:bCs/>
                <w:color w:val="000000"/>
                <w:sz w:val="24"/>
                <w:szCs w:val="24"/>
              </w:rPr>
              <w:t>号）相关要求：</w:t>
            </w:r>
          </w:p>
          <w:p>
            <w:pPr>
              <w:adjustRightInd w:val="0"/>
              <w:snapToGrid w:val="0"/>
              <w:spacing w:line="500" w:lineRule="exact"/>
              <w:ind w:firstLine="482" w:firstLineChars="200"/>
              <w:outlineLvl w:val="0"/>
              <w:rPr>
                <w:rFonts w:ascii="Times New Roman" w:hAnsi="Times New Roman" w:eastAsia="仿宋_GB2312"/>
                <w:b/>
                <w:bCs/>
                <w:color w:val="000000"/>
                <w:sz w:val="24"/>
                <w:szCs w:val="24"/>
              </w:rPr>
            </w:pPr>
            <w:r>
              <w:rPr>
                <w:rFonts w:hint="eastAsia" w:ascii="Times New Roman" w:hAnsi="Times New Roman" w:eastAsia="仿宋_GB2312"/>
                <w:b/>
                <w:bCs/>
                <w:color w:val="000000"/>
                <w:sz w:val="24"/>
                <w:szCs w:val="24"/>
              </w:rPr>
              <w:t>分类</w:t>
            </w:r>
            <w:r>
              <w:rPr>
                <w:rFonts w:ascii="Times New Roman" w:hAnsi="Times New Roman" w:eastAsia="仿宋_GB2312"/>
                <w:b/>
                <w:bCs/>
                <w:color w:val="000000"/>
                <w:sz w:val="24"/>
                <w:szCs w:val="24"/>
              </w:rPr>
              <w:t>：</w:t>
            </w:r>
          </w:p>
          <w:p>
            <w:pPr>
              <w:adjustRightInd w:val="0"/>
              <w:snapToGrid w:val="0"/>
              <w:spacing w:line="500" w:lineRule="exact"/>
              <w:ind w:firstLine="480" w:firstLineChars="200"/>
              <w:outlineLvl w:val="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实验室危险废物分类应遵循安全性、可操作性和经济性原则。将实验室危险废物按其物相分为液态废物、固态废物。凝胶、果冻状等其他形态废物纳入固态废物进行管理。</w:t>
            </w:r>
          </w:p>
          <w:p>
            <w:pPr>
              <w:adjustRightInd w:val="0"/>
              <w:snapToGrid w:val="0"/>
              <w:spacing w:line="500" w:lineRule="exact"/>
              <w:ind w:firstLine="480" w:firstLineChars="200"/>
              <w:outlineLvl w:val="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液态废物分为有机废液、无机废液。有机废液分为含卤素有机废液和其它有机废液；无机废液分为含氰废液、含汞废液、含重金属废液（不含汞）、废酸、废碱、其它无机废液。</w:t>
            </w:r>
          </w:p>
          <w:p>
            <w:pPr>
              <w:adjustRightInd w:val="0"/>
              <w:snapToGrid w:val="0"/>
              <w:spacing w:line="500" w:lineRule="exact"/>
              <w:ind w:firstLine="480" w:firstLineChars="200"/>
              <w:outlineLvl w:val="0"/>
              <w:rPr>
                <w:rFonts w:ascii="Times New Roman" w:hAnsi="Times New Roman" w:eastAsia="仿宋_GB2312"/>
                <w:bCs/>
                <w:color w:val="000000"/>
                <w:sz w:val="24"/>
                <w:szCs w:val="24"/>
              </w:rPr>
            </w:pPr>
            <w:r>
              <w:rPr>
                <w:rFonts w:hint="eastAsia" w:ascii="Times New Roman" w:hAnsi="Times New Roman" w:eastAsia="仿宋_GB2312"/>
                <w:bCs/>
                <w:color w:val="000000"/>
                <w:sz w:val="24"/>
                <w:szCs w:val="24"/>
              </w:rPr>
              <w:t>固态废物分为废固态化学试剂、废弃包装物、容器以及其它固态废物。</w:t>
            </w:r>
          </w:p>
          <w:p>
            <w:pPr>
              <w:adjustRightInd w:val="0"/>
              <w:snapToGrid w:val="0"/>
              <w:spacing w:line="500" w:lineRule="exact"/>
              <w:ind w:firstLine="482" w:firstLineChars="200"/>
              <w:outlineLvl w:val="0"/>
              <w:rPr>
                <w:rFonts w:ascii="Times New Roman" w:hAnsi="Times New Roman" w:eastAsia="仿宋_GB2312"/>
                <w:b/>
                <w:bCs/>
                <w:color w:val="000000"/>
                <w:sz w:val="24"/>
                <w:szCs w:val="24"/>
              </w:rPr>
            </w:pPr>
            <w:r>
              <w:rPr>
                <w:rFonts w:hint="eastAsia" w:ascii="Times New Roman" w:hAnsi="Times New Roman" w:eastAsia="仿宋_GB2312"/>
                <w:b/>
                <w:bCs/>
                <w:color w:val="000000"/>
                <w:sz w:val="24"/>
                <w:szCs w:val="24"/>
              </w:rPr>
              <w:t>投放</w:t>
            </w:r>
            <w:r>
              <w:rPr>
                <w:rFonts w:ascii="Times New Roman" w:hAnsi="Times New Roman" w:eastAsia="仿宋_GB2312"/>
                <w:b/>
                <w:bCs/>
                <w:color w:val="000000"/>
                <w:sz w:val="24"/>
                <w:szCs w:val="24"/>
              </w:rPr>
              <w:t>：</w:t>
            </w:r>
          </w:p>
          <w:p>
            <w:pPr>
              <w:adjustRightInd w:val="0"/>
              <w:snapToGrid w:val="0"/>
              <w:spacing w:line="500" w:lineRule="exact"/>
              <w:ind w:firstLine="480" w:firstLineChars="200"/>
              <w:outlineLvl w:val="0"/>
              <w:rPr>
                <w:rFonts w:ascii="Times New Roman" w:hAnsi="Times New Roman" w:eastAsia="仿宋_GB2312"/>
                <w:snapToGrid w:val="0"/>
                <w:color w:val="000000"/>
                <w:kern w:val="0"/>
                <w:sz w:val="24"/>
                <w:szCs w:val="24"/>
              </w:rPr>
            </w:pPr>
            <w:r>
              <w:rPr>
                <w:rFonts w:hint="eastAsia" w:ascii="Times New Roman" w:hAnsi="Times New Roman" w:eastAsia="仿宋_GB2312"/>
                <w:color w:val="000000"/>
                <w:sz w:val="24"/>
                <w:szCs w:val="24"/>
              </w:rPr>
              <w:t>实验室危险废物与容器的材质应满足化学相容性（不相互反应）。实验室危险废物收集容器应保持完好，破损或污染后应及时更换。包装容器外部应粘贴标签，用中文全称（不可简写或缩写）标识内部危险废物种类和主要成分等信息</w:t>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液态废物使用的塑料容器应符合《包装容器危险品包装用塑料桶》GB18191 2008 ）的要求，容量可为5升、10升、25升、50升、100升，推荐使用容量为25升的塑料容器。固态废物的收集容器应满足相应强度要求且可封闭。废化学试剂应存放在原包装容器中，确保原标签 完好，否则应粘贴新标签。无法装入常用容器的危险废物可用防漏胶袋等盛装。</w:t>
            </w:r>
          </w:p>
          <w:p>
            <w:pPr>
              <w:adjustRightInd w:val="0"/>
              <w:snapToGrid w:val="0"/>
              <w:spacing w:line="500" w:lineRule="exact"/>
              <w:ind w:firstLine="482" w:firstLineChars="200"/>
              <w:outlineLvl w:val="0"/>
              <w:rPr>
                <w:rFonts w:ascii="Times New Roman" w:hAnsi="Times New Roman" w:eastAsia="仿宋_GB2312"/>
                <w:b/>
                <w:bCs/>
                <w:color w:val="000000"/>
                <w:sz w:val="24"/>
                <w:szCs w:val="24"/>
              </w:rPr>
            </w:pPr>
            <w:r>
              <w:rPr>
                <w:rFonts w:hint="eastAsia" w:ascii="Times New Roman" w:hAnsi="Times New Roman" w:eastAsia="仿宋_GB2312"/>
                <w:b/>
                <w:bCs/>
                <w:color w:val="000000"/>
                <w:sz w:val="24"/>
                <w:szCs w:val="24"/>
              </w:rPr>
              <w:t>暂存</w:t>
            </w:r>
            <w:r>
              <w:rPr>
                <w:rFonts w:ascii="Times New Roman" w:hAnsi="Times New Roman" w:eastAsia="仿宋_GB2312"/>
                <w:b/>
                <w:bCs/>
                <w:color w:val="000000"/>
                <w:sz w:val="24"/>
                <w:szCs w:val="24"/>
              </w:rPr>
              <w:t>：</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Times New Roman" w:hAnsi="Times New Roman" w:eastAsia="仿宋_GB2312"/>
                <w:snapToGrid w:val="0"/>
                <w:color w:val="000000"/>
                <w:kern w:val="0"/>
                <w:sz w:val="24"/>
                <w:szCs w:val="24"/>
              </w:rPr>
              <w:t>1、实验室应设置危险废物暂存区，并按 (《环境保护图形标志 固体废物贮存（处置）场》GB15562.2</w:t>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1995)相关规定设置危险废物警示标志。</w:t>
            </w:r>
          </w:p>
          <w:p>
            <w:pPr>
              <w:adjustRightInd w:val="0"/>
              <w:snapToGrid w:val="0"/>
              <w:spacing w:line="500" w:lineRule="exact"/>
              <w:ind w:firstLine="480" w:firstLineChars="200"/>
              <w:rPr>
                <w:rFonts w:ascii="Times New Roman" w:hAnsi="Times New Roman" w:eastAsia="仿宋_GB2312"/>
                <w:bCs/>
                <w:snapToGrid w:val="0"/>
                <w:color w:val="000000"/>
                <w:kern w:val="0"/>
                <w:sz w:val="24"/>
                <w:szCs w:val="24"/>
              </w:rPr>
            </w:pPr>
            <w:r>
              <w:rPr>
                <w:rFonts w:hint="eastAsia" w:ascii="Times New Roman" w:hAnsi="Times New Roman" w:eastAsia="仿宋_GB2312"/>
                <w:bCs/>
                <w:snapToGrid w:val="0"/>
                <w:color w:val="000000"/>
                <w:kern w:val="0"/>
                <w:sz w:val="24"/>
                <w:szCs w:val="24"/>
              </w:rPr>
              <w:t>2、危险废物原则上应存放于本实验室暂存区内。对于不具备暂存条件。</w:t>
            </w:r>
          </w:p>
          <w:p>
            <w:pPr>
              <w:adjustRightInd w:val="0"/>
              <w:snapToGrid w:val="0"/>
              <w:spacing w:line="500" w:lineRule="exact"/>
              <w:ind w:firstLine="480" w:firstLineChars="200"/>
              <w:rPr>
                <w:rFonts w:ascii="Times New Roman" w:hAnsi="Times New Roman" w:eastAsia="仿宋_GB2312"/>
                <w:bCs/>
                <w:snapToGrid w:val="0"/>
                <w:color w:val="000000"/>
                <w:kern w:val="0"/>
                <w:sz w:val="24"/>
                <w:szCs w:val="24"/>
              </w:rPr>
            </w:pPr>
            <w:r>
              <w:rPr>
                <w:rFonts w:hint="eastAsia" w:ascii="Times New Roman" w:hAnsi="Times New Roman" w:eastAsia="仿宋_GB2312"/>
                <w:bCs/>
                <w:snapToGrid w:val="0"/>
                <w:color w:val="000000"/>
                <w:kern w:val="0"/>
                <w:sz w:val="24"/>
                <w:szCs w:val="24"/>
              </w:rPr>
              <w:t>3、存放两种及以上不相 容危险废物时，应分类分区存放，设置一定距离的间隔。危险废物相容性质</w:t>
            </w:r>
          </w:p>
          <w:p>
            <w:pPr>
              <w:adjustRightInd w:val="0"/>
              <w:snapToGrid w:val="0"/>
              <w:spacing w:line="500" w:lineRule="exact"/>
              <w:ind w:firstLine="480" w:firstLineChars="200"/>
              <w:rPr>
                <w:rFonts w:ascii="Times New Roman" w:hAnsi="Times New Roman" w:eastAsia="仿宋_GB2312"/>
                <w:bCs/>
                <w:snapToGrid w:val="0"/>
                <w:color w:val="000000"/>
                <w:kern w:val="0"/>
                <w:sz w:val="24"/>
                <w:szCs w:val="24"/>
              </w:rPr>
            </w:pPr>
            <w:r>
              <w:rPr>
                <w:rFonts w:hint="eastAsia" w:ascii="Times New Roman" w:hAnsi="Times New Roman" w:eastAsia="仿宋_GB2312"/>
                <w:bCs/>
                <w:snapToGrid w:val="0"/>
                <w:color w:val="000000"/>
                <w:kern w:val="0"/>
                <w:sz w:val="24"/>
                <w:szCs w:val="24"/>
              </w:rPr>
              <w:t>4、暂存区应按（《危险废物贮存污染控制标准》GB18597</w:t>
            </w:r>
            <w:r>
              <w:rPr>
                <w:rFonts w:ascii="Times New Roman" w:hAnsi="Times New Roman" w:eastAsia="仿宋_GB2312"/>
                <w:bCs/>
                <w:snapToGrid w:val="0"/>
                <w:color w:val="000000"/>
                <w:kern w:val="0"/>
                <w:sz w:val="24"/>
                <w:szCs w:val="24"/>
              </w:rPr>
              <w:t>-</w:t>
            </w:r>
            <w:r>
              <w:rPr>
                <w:rFonts w:hint="eastAsia" w:ascii="Times New Roman" w:hAnsi="Times New Roman" w:eastAsia="仿宋_GB2312"/>
                <w:bCs/>
                <w:snapToGrid w:val="0"/>
                <w:color w:val="000000"/>
                <w:kern w:val="0"/>
                <w:sz w:val="24"/>
                <w:szCs w:val="24"/>
              </w:rPr>
              <w:t>2001，2013年修订）相关要求建设防遗撒、防渗漏设施 可结合实际，采用防漏容器等污染防治措施，防止危险废物溢出、遗撒或泄漏。</w:t>
            </w:r>
          </w:p>
          <w:p>
            <w:pPr>
              <w:adjustRightInd w:val="0"/>
              <w:snapToGrid w:val="0"/>
              <w:spacing w:line="500" w:lineRule="exact"/>
              <w:ind w:firstLine="480" w:firstLineChars="200"/>
              <w:rPr>
                <w:rFonts w:ascii="Times New Roman" w:hAnsi="Times New Roman" w:eastAsia="仿宋_GB2312"/>
                <w:bCs/>
                <w:snapToGrid w:val="0"/>
                <w:color w:val="000000"/>
                <w:kern w:val="0"/>
                <w:sz w:val="24"/>
                <w:szCs w:val="24"/>
              </w:rPr>
            </w:pPr>
            <w:r>
              <w:rPr>
                <w:rFonts w:hint="eastAsia" w:ascii="Times New Roman" w:hAnsi="Times New Roman" w:eastAsia="仿宋_GB2312"/>
                <w:bCs/>
                <w:snapToGrid w:val="0"/>
                <w:color w:val="000000"/>
                <w:kern w:val="0"/>
                <w:sz w:val="24"/>
                <w:szCs w:val="24"/>
              </w:rPr>
              <w:t>5、暂存区应保持良好的通风条件，并远离火源，避免高温、日晒和雨淋。在确保不影响安全性与稳定性的前提下，固态实验室危险废物可多层码放，并做好防扬散、防遗撒、 防渗漏等防止污染环境的措施。</w:t>
            </w:r>
          </w:p>
          <w:p>
            <w:pPr>
              <w:adjustRightInd w:val="0"/>
              <w:snapToGrid w:val="0"/>
              <w:spacing w:line="500" w:lineRule="exact"/>
              <w:ind w:firstLine="482" w:firstLineChars="200"/>
              <w:rPr>
                <w:rFonts w:ascii="Times New Roman" w:hAnsi="Times New Roman" w:eastAsia="仿宋_GB2312"/>
                <w:b/>
                <w:bCs/>
                <w:snapToGrid w:val="0"/>
                <w:color w:val="000000"/>
                <w:kern w:val="0"/>
                <w:sz w:val="24"/>
                <w:szCs w:val="24"/>
              </w:rPr>
            </w:pPr>
            <w:r>
              <w:rPr>
                <w:rFonts w:hint="eastAsia" w:ascii="Times New Roman" w:hAnsi="Times New Roman" w:eastAsia="仿宋_GB2312"/>
                <w:b/>
                <w:bCs/>
                <w:snapToGrid w:val="0"/>
                <w:color w:val="000000"/>
                <w:kern w:val="0"/>
                <w:sz w:val="24"/>
                <w:szCs w:val="24"/>
              </w:rPr>
              <w:t>收运</w:t>
            </w:r>
            <w:r>
              <w:rPr>
                <w:rFonts w:ascii="Times New Roman" w:hAnsi="Times New Roman" w:eastAsia="仿宋_GB2312"/>
                <w:b/>
                <w:bCs/>
                <w:snapToGrid w:val="0"/>
                <w:color w:val="000000"/>
                <w:kern w:val="0"/>
                <w:sz w:val="24"/>
                <w:szCs w:val="24"/>
              </w:rPr>
              <w:t>：</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Times New Roman" w:hAnsi="Times New Roman" w:eastAsia="仿宋_GB2312"/>
                <w:snapToGrid w:val="0"/>
                <w:color w:val="000000"/>
                <w:kern w:val="0"/>
                <w:sz w:val="24"/>
                <w:szCs w:val="24"/>
              </w:rPr>
              <w:t>实验室危险废物的收运应符合危险废物收集和内部转运作业要求（《危险废物收集贮存运输技术规范》HJ2025</w:t>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2012）。</w:t>
            </w:r>
          </w:p>
          <w:p>
            <w:pPr>
              <w:adjustRightInd w:val="0"/>
              <w:snapToGrid w:val="0"/>
              <w:spacing w:line="500" w:lineRule="exact"/>
              <w:ind w:firstLine="482" w:firstLineChars="200"/>
              <w:rPr>
                <w:rFonts w:ascii="Times New Roman" w:hAnsi="Times New Roman" w:eastAsia="仿宋_GB2312"/>
                <w:b/>
                <w:bCs/>
                <w:snapToGrid w:val="0"/>
                <w:color w:val="000000"/>
                <w:kern w:val="0"/>
                <w:sz w:val="24"/>
                <w:szCs w:val="24"/>
              </w:rPr>
            </w:pPr>
            <w:r>
              <w:rPr>
                <w:rFonts w:hint="eastAsia" w:ascii="Times New Roman" w:hAnsi="Times New Roman" w:eastAsia="仿宋_GB2312"/>
                <w:b/>
                <w:bCs/>
                <w:snapToGrid w:val="0"/>
                <w:color w:val="000000"/>
                <w:kern w:val="0"/>
                <w:sz w:val="24"/>
                <w:szCs w:val="24"/>
              </w:rPr>
              <w:t>贮存</w:t>
            </w:r>
            <w:r>
              <w:rPr>
                <w:rFonts w:ascii="Times New Roman" w:hAnsi="Times New Roman" w:eastAsia="仿宋_GB2312"/>
                <w:b/>
                <w:bCs/>
                <w:snapToGrid w:val="0"/>
                <w:color w:val="000000"/>
                <w:kern w:val="0"/>
                <w:sz w:val="24"/>
                <w:szCs w:val="24"/>
              </w:rPr>
              <w:t>：</w:t>
            </w:r>
          </w:p>
          <w:p>
            <w:pPr>
              <w:adjustRightInd w:val="0"/>
              <w:snapToGrid w:val="0"/>
              <w:spacing w:line="500" w:lineRule="exact"/>
              <w:ind w:firstLine="480" w:firstLineChars="200"/>
              <w:rPr>
                <w:rFonts w:ascii="Times New Roman" w:hAnsi="Times New Roman" w:eastAsia="仿宋_GB2312"/>
                <w:b/>
                <w:bCs/>
                <w:snapToGrid w:val="0"/>
                <w:color w:val="000000"/>
                <w:kern w:val="0"/>
                <w:sz w:val="24"/>
                <w:szCs w:val="24"/>
              </w:rPr>
            </w:pPr>
            <w:r>
              <w:rPr>
                <w:rFonts w:hint="eastAsia" w:ascii="Times New Roman" w:hAnsi="Times New Roman" w:eastAsia="仿宋_GB2312"/>
                <w:snapToGrid w:val="0"/>
                <w:color w:val="000000"/>
                <w:kern w:val="0"/>
                <w:sz w:val="24"/>
                <w:szCs w:val="24"/>
              </w:rPr>
              <w:t>实验室危险废物应分类分区贮存，不同种类间应有明显间隔。严禁性质不相容、具有反应性且未经安全性处置的实验室危险废物混合贮存；禁止将危险废物混入非危险废物中贮存。</w:t>
            </w:r>
          </w:p>
          <w:p>
            <w:pPr>
              <w:adjustRightInd w:val="0"/>
              <w:snapToGrid w:val="0"/>
              <w:spacing w:line="500" w:lineRule="exact"/>
              <w:ind w:firstLine="482" w:firstLineChars="200"/>
              <w:rPr>
                <w:rFonts w:ascii="Times New Roman" w:hAnsi="Times New Roman" w:eastAsia="仿宋_GB2312"/>
                <w:snapToGrid w:val="0"/>
                <w:color w:val="000000"/>
                <w:kern w:val="0"/>
                <w:sz w:val="24"/>
                <w:szCs w:val="24"/>
              </w:rPr>
            </w:pPr>
            <w:r>
              <w:rPr>
                <w:rFonts w:hint="eastAsia" w:ascii="Times New Roman" w:hAnsi="Times New Roman" w:eastAsia="仿宋_GB2312"/>
                <w:b/>
                <w:bCs/>
                <w:snapToGrid w:val="0"/>
                <w:color w:val="000000"/>
                <w:kern w:val="0"/>
                <w:sz w:val="24"/>
                <w:szCs w:val="24"/>
              </w:rPr>
              <w:t>处置利用</w:t>
            </w:r>
            <w:r>
              <w:rPr>
                <w:rFonts w:ascii="Times New Roman" w:hAnsi="Times New Roman" w:eastAsia="仿宋_GB2312"/>
                <w:b/>
                <w:bCs/>
                <w:snapToGrid w:val="0"/>
                <w:color w:val="000000"/>
                <w:kern w:val="0"/>
                <w:sz w:val="24"/>
                <w:szCs w:val="24"/>
              </w:rPr>
              <w:t>：</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Times New Roman" w:hAnsi="Times New Roman" w:eastAsia="仿宋_GB2312"/>
                <w:snapToGrid w:val="0"/>
                <w:color w:val="000000"/>
                <w:kern w:val="0"/>
                <w:sz w:val="24"/>
                <w:szCs w:val="24"/>
              </w:rPr>
              <w:t>1、实验室危险废物应委托具有危险废物经营许可证及相应资质的经营企业及时进行处置、利用，并按规定填报危险废物转移联单。省内转移危险废物的，应在江苏省危险废物动态管理信息系统上填报危险废物转移电子联单；跨省转移危险废物的，应依法办理危险废物跨省转移行政审批手续，未经批准的，不得转移。</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Times New Roman" w:hAnsi="Times New Roman" w:eastAsia="仿宋_GB2312"/>
                <w:snapToGrid w:val="0"/>
                <w:color w:val="000000"/>
                <w:kern w:val="0"/>
                <w:sz w:val="24"/>
                <w:szCs w:val="24"/>
              </w:rPr>
              <w:t>2、对危险废物产生量小的实验室单位，鼓励危险废物经营企业采取“一车多运”方式对不同单位、同类别或相容的实验室危险废物开展集中收运、处置及利用活动。</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本项目产生的固废均</w:t>
            </w:r>
            <w:r>
              <w:rPr>
                <w:rFonts w:hint="eastAsia" w:ascii="Times New Roman" w:hAnsi="Times New Roman" w:eastAsia="仿宋_GB2312"/>
                <w:snapToGrid w:val="0"/>
                <w:color w:val="000000"/>
                <w:kern w:val="0"/>
                <w:sz w:val="24"/>
                <w:szCs w:val="24"/>
              </w:rPr>
              <w:t>按照规范进行分类、投放、暂存、收运、贮存、处置利用</w:t>
            </w:r>
            <w:r>
              <w:rPr>
                <w:rFonts w:ascii="Times New Roman" w:hAnsi="Times New Roman" w:eastAsia="仿宋_GB2312"/>
                <w:snapToGrid w:val="0"/>
                <w:color w:val="000000"/>
                <w:kern w:val="0"/>
                <w:sz w:val="24"/>
                <w:szCs w:val="24"/>
              </w:rPr>
              <w:t>，最终固废零排放。</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3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③</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综合利用、处理、处置的环境影响分析</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建设项目固体废物利用处置方式见表7-16。</w:t>
            </w:r>
          </w:p>
          <w:p>
            <w:pPr>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表7-16 建设项目固体废物利用处置方式评价表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1431"/>
              <w:gridCol w:w="1013"/>
              <w:gridCol w:w="1322"/>
              <w:gridCol w:w="1212"/>
              <w:gridCol w:w="1089"/>
              <w:gridCol w:w="808"/>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ascii="Times New Roman" w:hAnsi="Times New Roman" w:eastAsia="仿宋_GB2312"/>
                      <w:b/>
                      <w:bCs/>
                      <w:color w:val="000000"/>
                      <w:kern w:val="0"/>
                      <w:sz w:val="18"/>
                      <w:szCs w:val="18"/>
                    </w:rPr>
                    <w:t>序号</w:t>
                  </w:r>
                </w:p>
              </w:tc>
              <w:tc>
                <w:tcPr>
                  <w:tcW w:w="861"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固废</w:t>
                  </w:r>
                  <w:r>
                    <w:rPr>
                      <w:rFonts w:ascii="Times New Roman" w:hAnsi="Times New Roman" w:eastAsia="仿宋_GB2312"/>
                      <w:b/>
                      <w:bCs/>
                      <w:color w:val="000000"/>
                      <w:kern w:val="0"/>
                      <w:sz w:val="18"/>
                      <w:szCs w:val="18"/>
                    </w:rPr>
                    <w:t>名称</w:t>
                  </w:r>
                </w:p>
              </w:tc>
              <w:tc>
                <w:tcPr>
                  <w:tcW w:w="609"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属性</w:t>
                  </w:r>
                </w:p>
              </w:tc>
              <w:tc>
                <w:tcPr>
                  <w:tcW w:w="795"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产生工序</w:t>
                  </w:r>
                </w:p>
              </w:tc>
              <w:tc>
                <w:tcPr>
                  <w:tcW w:w="729"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废物代码</w:t>
                  </w:r>
                </w:p>
              </w:tc>
              <w:tc>
                <w:tcPr>
                  <w:tcW w:w="655"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预估产生量</w:t>
                  </w:r>
                </w:p>
              </w:tc>
              <w:tc>
                <w:tcPr>
                  <w:tcW w:w="486" w:type="pct"/>
                  <w:shd w:val="clear" w:color="auto" w:fill="auto"/>
                  <w:vAlign w:val="center"/>
                </w:tcPr>
                <w:p>
                  <w:pPr>
                    <w:topLinePunct/>
                    <w:adjustRightInd w:val="0"/>
                    <w:snapToGrid w:val="0"/>
                    <w:jc w:val="center"/>
                    <w:rPr>
                      <w:rFonts w:ascii="Times New Roman" w:hAnsi="Times New Roman" w:eastAsia="仿宋_GB2312"/>
                      <w:b/>
                      <w:bCs/>
                      <w:color w:val="000000"/>
                      <w:kern w:val="0"/>
                      <w:sz w:val="18"/>
                      <w:szCs w:val="18"/>
                    </w:rPr>
                  </w:pPr>
                  <w:r>
                    <w:rPr>
                      <w:rFonts w:hint="eastAsia" w:ascii="Times New Roman" w:hAnsi="Times New Roman" w:eastAsia="仿宋_GB2312"/>
                      <w:b/>
                      <w:bCs/>
                      <w:color w:val="000000"/>
                      <w:kern w:val="0"/>
                      <w:sz w:val="18"/>
                      <w:szCs w:val="18"/>
                    </w:rPr>
                    <w:t>利用处置方式</w:t>
                  </w:r>
                </w:p>
              </w:tc>
              <w:tc>
                <w:tcPr>
                  <w:tcW w:w="486" w:type="pct"/>
                  <w:vAlign w:val="center"/>
                </w:tcPr>
                <w:p>
                  <w:pPr>
                    <w:adjustRightInd w:val="0"/>
                    <w:snapToGrid w:val="0"/>
                    <w:ind w:left="-105" w:leftChars="-50" w:right="-105" w:rightChars="-50"/>
                    <w:jc w:val="center"/>
                    <w:rPr>
                      <w:rFonts w:ascii="Times New Roman" w:hAnsi="Times New Roman" w:eastAsia="仿宋_GB2312"/>
                      <w:b/>
                      <w:color w:val="000000"/>
                      <w:szCs w:val="21"/>
                    </w:rPr>
                  </w:pPr>
                  <w:r>
                    <w:rPr>
                      <w:rFonts w:ascii="Times New Roman" w:hAnsi="Times New Roman" w:eastAsia="仿宋_GB2312"/>
                      <w:b/>
                      <w:color w:val="000000"/>
                      <w:szCs w:val="21"/>
                    </w:rPr>
                    <w:t>利用处</w:t>
                  </w:r>
                </w:p>
                <w:p>
                  <w:pPr>
                    <w:topLinePunct/>
                    <w:adjustRightInd w:val="0"/>
                    <w:snapToGrid w:val="0"/>
                    <w:jc w:val="center"/>
                    <w:rPr>
                      <w:rFonts w:ascii="Times New Roman" w:hAnsi="Times New Roman" w:eastAsia="仿宋_GB2312"/>
                      <w:b/>
                      <w:bCs/>
                      <w:color w:val="000000"/>
                      <w:kern w:val="0"/>
                      <w:sz w:val="18"/>
                      <w:szCs w:val="18"/>
                    </w:rPr>
                  </w:pPr>
                  <w:r>
                    <w:rPr>
                      <w:rFonts w:ascii="Times New Roman" w:hAnsi="Times New Roman" w:eastAsia="仿宋_GB2312"/>
                      <w:b/>
                      <w:color w:val="000000"/>
                      <w:szCs w:val="21"/>
                    </w:rPr>
                    <w:t>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1</w:t>
                  </w:r>
                </w:p>
              </w:tc>
              <w:tc>
                <w:tcPr>
                  <w:tcW w:w="861"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生活垃圾</w:t>
                  </w:r>
                </w:p>
              </w:tc>
              <w:tc>
                <w:tcPr>
                  <w:tcW w:w="609"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生活垃圾</w:t>
                  </w:r>
                </w:p>
              </w:tc>
              <w:tc>
                <w:tcPr>
                  <w:tcW w:w="795"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办公生活</w:t>
                  </w:r>
                </w:p>
              </w:tc>
              <w:tc>
                <w:tcPr>
                  <w:tcW w:w="729" w:type="pct"/>
                  <w:shd w:val="clear" w:color="auto" w:fill="auto"/>
                  <w:vAlign w:val="center"/>
                </w:tcPr>
                <w:p>
                  <w:pPr>
                    <w:jc w:val="center"/>
                    <w:rPr>
                      <w:rFonts w:ascii="Times New Roman" w:hAnsi="Times New Roman" w:eastAsia="仿宋_GB2312"/>
                      <w:color w:val="000000"/>
                      <w:sz w:val="18"/>
                      <w:szCs w:val="18"/>
                    </w:rPr>
                  </w:pP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3</w:t>
                  </w:r>
                  <w:r>
                    <w:rPr>
                      <w:rFonts w:ascii="Times New Roman" w:hAnsi="Times New Roman" w:eastAsia="仿宋_GB2312"/>
                      <w:color w:val="000000"/>
                      <w:kern w:val="0"/>
                      <w:sz w:val="18"/>
                      <w:szCs w:val="18"/>
                    </w:rPr>
                    <w:t>.375</w:t>
                  </w:r>
                </w:p>
              </w:tc>
              <w:tc>
                <w:tcPr>
                  <w:tcW w:w="486" w:type="pct"/>
                  <w:vMerge w:val="restar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环卫部门清运</w:t>
                  </w:r>
                </w:p>
              </w:tc>
              <w:tc>
                <w:tcPr>
                  <w:tcW w:w="486" w:type="pct"/>
                  <w:vMerge w:val="restar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2</w:t>
                  </w:r>
                </w:p>
              </w:tc>
              <w:tc>
                <w:tcPr>
                  <w:tcW w:w="861"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废反渗透膜</w:t>
                  </w:r>
                </w:p>
              </w:tc>
              <w:tc>
                <w:tcPr>
                  <w:tcW w:w="609"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一般固废</w:t>
                  </w:r>
                </w:p>
              </w:tc>
              <w:tc>
                <w:tcPr>
                  <w:tcW w:w="795"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纯水制备</w:t>
                  </w:r>
                </w:p>
              </w:tc>
              <w:tc>
                <w:tcPr>
                  <w:tcW w:w="729"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9</w:t>
                  </w:r>
                  <w:r>
                    <w:rPr>
                      <w:rFonts w:ascii="Times New Roman" w:hAnsi="Times New Roman" w:eastAsia="仿宋_GB2312"/>
                      <w:color w:val="000000"/>
                      <w:sz w:val="18"/>
                      <w:szCs w:val="18"/>
                    </w:rPr>
                    <w:t>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.01</w:t>
                  </w:r>
                </w:p>
              </w:tc>
              <w:tc>
                <w:tcPr>
                  <w:tcW w:w="486" w:type="pct"/>
                  <w:vMerge w:val="continue"/>
                  <w:shd w:val="clear" w:color="auto" w:fill="auto"/>
                  <w:vAlign w:val="center"/>
                </w:tcPr>
                <w:p>
                  <w:pPr>
                    <w:jc w:val="center"/>
                    <w:rPr>
                      <w:rFonts w:ascii="Times New Roman" w:hAnsi="Times New Roman" w:eastAsia="仿宋_GB2312"/>
                      <w:color w:val="000000"/>
                      <w:sz w:val="18"/>
                      <w:szCs w:val="18"/>
                    </w:rPr>
                  </w:pPr>
                </w:p>
              </w:tc>
              <w:tc>
                <w:tcPr>
                  <w:tcW w:w="486" w:type="pct"/>
                  <w:vMerge w:val="continue"/>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w:t>
                  </w:r>
                </w:p>
              </w:tc>
              <w:tc>
                <w:tcPr>
                  <w:tcW w:w="861"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废</w:t>
                  </w:r>
                  <w:r>
                    <w:rPr>
                      <w:rFonts w:hint="eastAsia" w:ascii="Times New Roman" w:hAnsi="Times New Roman" w:eastAsia="仿宋_GB2312"/>
                      <w:color w:val="000000"/>
                      <w:sz w:val="18"/>
                      <w:szCs w:val="21"/>
                    </w:rPr>
                    <w:t>玻璃器皿等耗材</w:t>
                  </w:r>
                </w:p>
              </w:tc>
              <w:tc>
                <w:tcPr>
                  <w:tcW w:w="609" w:type="pct"/>
                  <w:vMerge w:val="restar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危险废物</w:t>
                  </w:r>
                </w:p>
              </w:tc>
              <w:tc>
                <w:tcPr>
                  <w:tcW w:w="795"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18"/>
                    </w:rPr>
                    <w:t>检测</w:t>
                  </w:r>
                  <w:r>
                    <w:rPr>
                      <w:rFonts w:hint="eastAsia" w:ascii="Times New Roman" w:hAnsi="Times New Roman" w:eastAsia="仿宋_GB2312"/>
                      <w:color w:val="000000"/>
                      <w:sz w:val="18"/>
                      <w:szCs w:val="18"/>
                    </w:rPr>
                    <w:t>、科研</w:t>
                  </w:r>
                </w:p>
              </w:tc>
              <w:tc>
                <w:tcPr>
                  <w:tcW w:w="729"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900-047-49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.5</w:t>
                  </w:r>
                </w:p>
              </w:tc>
              <w:tc>
                <w:tcPr>
                  <w:tcW w:w="486" w:type="pct"/>
                  <w:vMerge w:val="restar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暂存于危废暂存间，定期委托有资质单位处理处置</w:t>
                  </w:r>
                </w:p>
              </w:tc>
              <w:tc>
                <w:tcPr>
                  <w:tcW w:w="486" w:type="pct"/>
                  <w:vMerge w:val="restart"/>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南京化学工业园天宇固体废物处置有限公司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w:t>
                  </w:r>
                </w:p>
              </w:tc>
              <w:tc>
                <w:tcPr>
                  <w:tcW w:w="861"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废试剂瓶</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18"/>
                    </w:rPr>
                    <w:t>检测、科研</w:t>
                  </w:r>
                </w:p>
              </w:tc>
              <w:tc>
                <w:tcPr>
                  <w:tcW w:w="729"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.8</w:t>
                  </w:r>
                </w:p>
              </w:tc>
              <w:tc>
                <w:tcPr>
                  <w:tcW w:w="486" w:type="pct"/>
                  <w:vMerge w:val="continue"/>
                  <w:shd w:val="clear" w:color="auto" w:fill="auto"/>
                  <w:vAlign w:val="center"/>
                </w:tcPr>
                <w:p>
                  <w:pPr>
                    <w:jc w:val="center"/>
                    <w:rPr>
                      <w:rFonts w:ascii="Times New Roman" w:hAnsi="Times New Roman" w:eastAsia="仿宋_GB2312"/>
                      <w:color w:val="000000"/>
                      <w:sz w:val="18"/>
                      <w:szCs w:val="18"/>
                    </w:rPr>
                  </w:pPr>
                </w:p>
              </w:tc>
              <w:tc>
                <w:tcPr>
                  <w:tcW w:w="486" w:type="pct"/>
                  <w:vMerge w:val="continue"/>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w:t>
                  </w:r>
                </w:p>
              </w:tc>
              <w:tc>
                <w:tcPr>
                  <w:tcW w:w="861"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废药剂包装</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18"/>
                    </w:rPr>
                    <w:t>检测、科研</w:t>
                  </w:r>
                </w:p>
              </w:tc>
              <w:tc>
                <w:tcPr>
                  <w:tcW w:w="729"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.2</w:t>
                  </w:r>
                </w:p>
              </w:tc>
              <w:tc>
                <w:tcPr>
                  <w:tcW w:w="486" w:type="pct"/>
                  <w:vMerge w:val="continue"/>
                  <w:shd w:val="clear" w:color="auto" w:fill="auto"/>
                  <w:vAlign w:val="center"/>
                </w:tcPr>
                <w:p>
                  <w:pPr>
                    <w:jc w:val="center"/>
                    <w:rPr>
                      <w:rFonts w:ascii="Times New Roman" w:hAnsi="Times New Roman" w:eastAsia="仿宋_GB2312"/>
                      <w:color w:val="000000"/>
                      <w:sz w:val="18"/>
                      <w:szCs w:val="18"/>
                    </w:rPr>
                  </w:pPr>
                </w:p>
              </w:tc>
              <w:tc>
                <w:tcPr>
                  <w:tcW w:w="486" w:type="pct"/>
                  <w:vMerge w:val="continue"/>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w:t>
                  </w:r>
                </w:p>
              </w:tc>
              <w:tc>
                <w:tcPr>
                  <w:tcW w:w="861"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废固体样品</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18"/>
                    </w:rPr>
                    <w:t>检测</w:t>
                  </w:r>
                </w:p>
              </w:tc>
              <w:tc>
                <w:tcPr>
                  <w:tcW w:w="729"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900-047-49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4.0</w:t>
                  </w:r>
                </w:p>
              </w:tc>
              <w:tc>
                <w:tcPr>
                  <w:tcW w:w="486"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6" w:type="pct"/>
                  <w:vMerge w:val="continue"/>
                  <w:vAlign w:val="center"/>
                </w:tcPr>
                <w:p>
                  <w:pPr>
                    <w:jc w:val="center"/>
                    <w:rPr>
                      <w:rFonts w:ascii="Times New Roman" w:hAnsi="Times New Roman" w:eastAsia="仿宋_GB2312"/>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7</w:t>
                  </w:r>
                </w:p>
              </w:tc>
              <w:tc>
                <w:tcPr>
                  <w:tcW w:w="861"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废</w:t>
                  </w:r>
                  <w:r>
                    <w:rPr>
                      <w:rFonts w:hint="eastAsia" w:ascii="Times New Roman" w:hAnsi="Times New Roman" w:eastAsia="仿宋_GB2312"/>
                      <w:color w:val="000000"/>
                      <w:sz w:val="18"/>
                      <w:szCs w:val="21"/>
                    </w:rPr>
                    <w:t>液体</w:t>
                  </w:r>
                  <w:r>
                    <w:rPr>
                      <w:rFonts w:ascii="Times New Roman" w:hAnsi="Times New Roman" w:eastAsia="仿宋_GB2312"/>
                      <w:color w:val="000000"/>
                      <w:sz w:val="18"/>
                      <w:szCs w:val="21"/>
                    </w:rPr>
                    <w:t>样品</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检测</w:t>
                  </w:r>
                </w:p>
              </w:tc>
              <w:tc>
                <w:tcPr>
                  <w:tcW w:w="729"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2.0</w:t>
                  </w:r>
                </w:p>
              </w:tc>
              <w:tc>
                <w:tcPr>
                  <w:tcW w:w="486"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6" w:type="pct"/>
                  <w:vMerge w:val="continue"/>
                  <w:vAlign w:val="center"/>
                </w:tcPr>
                <w:p>
                  <w:pPr>
                    <w:jc w:val="center"/>
                    <w:rPr>
                      <w:rFonts w:ascii="Times New Roman" w:hAnsi="Times New Roman" w:eastAsia="仿宋_GB2312"/>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8</w:t>
                  </w:r>
                </w:p>
              </w:tc>
              <w:tc>
                <w:tcPr>
                  <w:tcW w:w="861"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21"/>
                    </w:rPr>
                    <w:t>科研、检测废液及前两道清洗废液</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kern w:val="0"/>
                      <w:sz w:val="18"/>
                      <w:szCs w:val="18"/>
                    </w:rPr>
                    <w:t>科研检测</w:t>
                  </w:r>
                </w:p>
              </w:tc>
              <w:tc>
                <w:tcPr>
                  <w:tcW w:w="729" w:type="pct"/>
                  <w:shd w:val="clear" w:color="auto" w:fill="auto"/>
                  <w:vAlign w:val="center"/>
                </w:tcPr>
                <w:p>
                  <w:pPr>
                    <w:jc w:val="center"/>
                    <w:rPr>
                      <w:rFonts w:ascii="Times New Roman" w:hAnsi="Times New Roman" w:eastAsia="仿宋_GB2312"/>
                      <w:color w:val="000000"/>
                      <w:kern w:val="0"/>
                      <w:sz w:val="18"/>
                      <w:szCs w:val="18"/>
                    </w:rPr>
                  </w:pPr>
                  <w:r>
                    <w:rPr>
                      <w:rFonts w:ascii="Times New Roman" w:hAnsi="Times New Roman" w:eastAsia="仿宋_GB2312"/>
                      <w:color w:val="000000"/>
                      <w:sz w:val="18"/>
                      <w:szCs w:val="18"/>
                    </w:rPr>
                    <w:t>900-047-49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3</w:t>
                  </w:r>
                  <w:r>
                    <w:rPr>
                      <w:rFonts w:ascii="Times New Roman" w:hAnsi="Times New Roman" w:eastAsia="仿宋_GB2312"/>
                      <w:color w:val="000000"/>
                      <w:kern w:val="0"/>
                      <w:sz w:val="18"/>
                      <w:szCs w:val="18"/>
                    </w:rPr>
                    <w:t>.2</w:t>
                  </w:r>
                </w:p>
              </w:tc>
              <w:tc>
                <w:tcPr>
                  <w:tcW w:w="486"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486" w:type="pct"/>
                  <w:vMerge w:val="continue"/>
                  <w:vAlign w:val="center"/>
                </w:tcPr>
                <w:p>
                  <w:pPr>
                    <w:jc w:val="center"/>
                    <w:rPr>
                      <w:rFonts w:ascii="Times New Roman" w:hAnsi="Times New Roman" w:eastAsia="仿宋_GB2312"/>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9</w:t>
                  </w:r>
                </w:p>
              </w:tc>
              <w:tc>
                <w:tcPr>
                  <w:tcW w:w="861" w:type="pct"/>
                  <w:shd w:val="clear" w:color="auto" w:fill="auto"/>
                  <w:vAlign w:val="center"/>
                </w:tcPr>
                <w:p>
                  <w:pPr>
                    <w:jc w:val="center"/>
                    <w:rPr>
                      <w:rFonts w:ascii="Times New Roman" w:hAnsi="Times New Roman" w:eastAsia="仿宋_GB2312"/>
                      <w:color w:val="000000"/>
                      <w:sz w:val="18"/>
                      <w:szCs w:val="21"/>
                    </w:rPr>
                  </w:pPr>
                  <w:r>
                    <w:rPr>
                      <w:rFonts w:ascii="Times New Roman" w:hAnsi="Times New Roman" w:eastAsia="仿宋_GB2312"/>
                      <w:color w:val="000000"/>
                      <w:sz w:val="18"/>
                      <w:szCs w:val="21"/>
                    </w:rPr>
                    <w:t>过期化学品</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21"/>
                    </w:rPr>
                  </w:pPr>
                  <w:r>
                    <w:rPr>
                      <w:rFonts w:hint="eastAsia" w:ascii="Times New Roman" w:hAnsi="Times New Roman" w:eastAsia="仿宋_GB2312"/>
                      <w:color w:val="000000"/>
                      <w:sz w:val="18"/>
                      <w:szCs w:val="18"/>
                    </w:rPr>
                    <w:t>科研检测</w:t>
                  </w:r>
                </w:p>
              </w:tc>
              <w:tc>
                <w:tcPr>
                  <w:tcW w:w="729"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21"/>
                    </w:rPr>
                    <w:t>9</w:t>
                  </w:r>
                  <w:r>
                    <w:rPr>
                      <w:rFonts w:ascii="Times New Roman" w:hAnsi="Times New Roman" w:eastAsia="仿宋_GB2312"/>
                      <w:color w:val="000000"/>
                      <w:sz w:val="18"/>
                      <w:szCs w:val="21"/>
                    </w:rPr>
                    <w:t>00-999-49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sz w:val="18"/>
                      <w:szCs w:val="21"/>
                    </w:rPr>
                    <w:t>0</w:t>
                  </w:r>
                  <w:r>
                    <w:rPr>
                      <w:rFonts w:ascii="Times New Roman" w:hAnsi="Times New Roman" w:eastAsia="仿宋_GB2312"/>
                      <w:color w:val="000000"/>
                      <w:sz w:val="18"/>
                      <w:szCs w:val="21"/>
                    </w:rPr>
                    <w:t>.5</w:t>
                  </w:r>
                </w:p>
              </w:tc>
              <w:tc>
                <w:tcPr>
                  <w:tcW w:w="486" w:type="pct"/>
                  <w:vMerge w:val="continue"/>
                  <w:shd w:val="clear" w:color="auto" w:fill="auto"/>
                  <w:vAlign w:val="center"/>
                </w:tcPr>
                <w:p>
                  <w:pPr>
                    <w:jc w:val="center"/>
                    <w:rPr>
                      <w:rFonts w:ascii="Times New Roman" w:hAnsi="Times New Roman" w:eastAsia="仿宋_GB2312"/>
                      <w:color w:val="000000"/>
                      <w:sz w:val="18"/>
                      <w:szCs w:val="18"/>
                    </w:rPr>
                  </w:pPr>
                </w:p>
              </w:tc>
              <w:tc>
                <w:tcPr>
                  <w:tcW w:w="486" w:type="pct"/>
                  <w:vMerge w:val="continue"/>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10</w:t>
                  </w:r>
                </w:p>
              </w:tc>
              <w:tc>
                <w:tcPr>
                  <w:tcW w:w="861"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废活性炭</w:t>
                  </w:r>
                </w:p>
              </w:tc>
              <w:tc>
                <w:tcPr>
                  <w:tcW w:w="609" w:type="pct"/>
                  <w:vMerge w:val="continue"/>
                  <w:shd w:val="clear" w:color="auto" w:fill="auto"/>
                  <w:vAlign w:val="center"/>
                </w:tcPr>
                <w:p>
                  <w:pPr>
                    <w:jc w:val="center"/>
                    <w:rPr>
                      <w:rFonts w:ascii="Times New Roman" w:hAnsi="Times New Roman" w:eastAsia="仿宋_GB2312"/>
                      <w:color w:val="000000"/>
                      <w:kern w:val="0"/>
                      <w:sz w:val="18"/>
                      <w:szCs w:val="18"/>
                    </w:rPr>
                  </w:pPr>
                </w:p>
              </w:tc>
              <w:tc>
                <w:tcPr>
                  <w:tcW w:w="795"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废气处理</w:t>
                  </w:r>
                </w:p>
              </w:tc>
              <w:tc>
                <w:tcPr>
                  <w:tcW w:w="729"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900-039-49</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1</w:t>
                  </w:r>
                  <w:r>
                    <w:rPr>
                      <w:rFonts w:ascii="Times New Roman" w:hAnsi="Times New Roman" w:eastAsia="仿宋_GB2312"/>
                      <w:color w:val="000000"/>
                      <w:kern w:val="0"/>
                      <w:sz w:val="18"/>
                      <w:szCs w:val="18"/>
                    </w:rPr>
                    <w:t>.8</w:t>
                  </w:r>
                </w:p>
              </w:tc>
              <w:tc>
                <w:tcPr>
                  <w:tcW w:w="486" w:type="pct"/>
                  <w:vMerge w:val="continue"/>
                  <w:shd w:val="clear" w:color="auto" w:fill="auto"/>
                  <w:vAlign w:val="center"/>
                </w:tcPr>
                <w:p>
                  <w:pPr>
                    <w:jc w:val="center"/>
                    <w:rPr>
                      <w:rFonts w:ascii="Times New Roman" w:hAnsi="Times New Roman" w:eastAsia="仿宋_GB2312"/>
                      <w:color w:val="000000"/>
                      <w:sz w:val="18"/>
                      <w:szCs w:val="18"/>
                    </w:rPr>
                  </w:pPr>
                </w:p>
              </w:tc>
              <w:tc>
                <w:tcPr>
                  <w:tcW w:w="486" w:type="pct"/>
                  <w:vMerge w:val="continue"/>
                  <w:vAlign w:val="center"/>
                </w:tcPr>
                <w:p>
                  <w:pPr>
                    <w:jc w:val="center"/>
                    <w:rPr>
                      <w:rFonts w:ascii="Times New Roman" w:hAnsi="Times New Roman" w:eastAsia="仿宋_GB2312"/>
                      <w:color w:val="00000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shd w:val="clear" w:color="auto" w:fill="auto"/>
                  <w:vAlign w:val="center"/>
                </w:tcPr>
                <w:p>
                  <w:pPr>
                    <w:topLinePunct/>
                    <w:adjustRightInd w:val="0"/>
                    <w:snapToGrid w:val="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1</w:t>
                  </w:r>
                  <w:r>
                    <w:rPr>
                      <w:rFonts w:ascii="Times New Roman" w:hAnsi="Times New Roman" w:eastAsia="仿宋_GB2312"/>
                      <w:color w:val="000000"/>
                      <w:kern w:val="0"/>
                      <w:sz w:val="18"/>
                      <w:szCs w:val="18"/>
                    </w:rPr>
                    <w:t>1</w:t>
                  </w:r>
                </w:p>
              </w:tc>
              <w:tc>
                <w:tcPr>
                  <w:tcW w:w="861"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藻类和斑马鱼尸体</w:t>
                  </w:r>
                </w:p>
              </w:tc>
              <w:tc>
                <w:tcPr>
                  <w:tcW w:w="609"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一般固废</w:t>
                  </w:r>
                </w:p>
              </w:tc>
              <w:tc>
                <w:tcPr>
                  <w:tcW w:w="795"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科研实验</w:t>
                  </w:r>
                </w:p>
              </w:tc>
              <w:tc>
                <w:tcPr>
                  <w:tcW w:w="729"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w:t>
                  </w:r>
                </w:p>
              </w:tc>
              <w:tc>
                <w:tcPr>
                  <w:tcW w:w="655" w:type="pct"/>
                  <w:shd w:val="clear" w:color="auto" w:fill="auto"/>
                  <w:vAlign w:val="center"/>
                </w:tcPr>
                <w:p>
                  <w:pPr>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0</w:t>
                  </w:r>
                  <w:r>
                    <w:rPr>
                      <w:rFonts w:ascii="Times New Roman" w:hAnsi="Times New Roman" w:eastAsia="仿宋_GB2312"/>
                      <w:color w:val="000000"/>
                      <w:kern w:val="0"/>
                      <w:sz w:val="18"/>
                      <w:szCs w:val="18"/>
                    </w:rPr>
                    <w:t>.01</w:t>
                  </w:r>
                </w:p>
              </w:tc>
              <w:tc>
                <w:tcPr>
                  <w:tcW w:w="486"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环卫部门清运</w:t>
                  </w:r>
                </w:p>
              </w:tc>
              <w:tc>
                <w:tcPr>
                  <w:tcW w:w="486" w:type="pct"/>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环卫部门</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建设项目危险废物贮存场所</w:t>
            </w:r>
            <w:r>
              <w:rPr>
                <w:rFonts w:hint="eastAsia" w:ascii="Times New Roman" w:hAnsi="Times New Roman" w:eastAsia="仿宋_GB2312"/>
                <w:snapToGrid w:val="0"/>
                <w:color w:val="000000"/>
                <w:kern w:val="0"/>
                <w:sz w:val="24"/>
                <w:szCs w:val="24"/>
              </w:rPr>
              <w:t>位于大楼一层西北角，留样室西侧，具体见附图4，占地面积2</w:t>
            </w:r>
            <w:r>
              <w:rPr>
                <w:rFonts w:ascii="Times New Roman" w:hAnsi="Times New Roman" w:eastAsia="仿宋_GB2312"/>
                <w:snapToGrid w:val="0"/>
                <w:color w:val="000000"/>
                <w:kern w:val="0"/>
                <w:sz w:val="24"/>
                <w:szCs w:val="24"/>
              </w:rPr>
              <w:t>0</w:t>
            </w:r>
            <w:r>
              <w:rPr>
                <w:rFonts w:hint="eastAsia" w:ascii="Times New Roman" w:hAnsi="Times New Roman" w:eastAsia="仿宋_GB2312"/>
                <w:snapToGrid w:val="0"/>
                <w:color w:val="000000"/>
                <w:kern w:val="0"/>
                <w:sz w:val="24"/>
                <w:szCs w:val="24"/>
              </w:rPr>
              <w:t>m</w:t>
            </w:r>
            <w:r>
              <w:rPr>
                <w:rFonts w:ascii="Times New Roman" w:hAnsi="Times New Roman" w:eastAsia="仿宋_GB2312"/>
                <w:snapToGrid w:val="0"/>
                <w:color w:val="000000"/>
                <w:kern w:val="0"/>
                <w:sz w:val="24"/>
                <w:szCs w:val="24"/>
                <w:vertAlign w:val="superscript"/>
              </w:rPr>
              <w:t>2</w:t>
            </w:r>
            <w:r>
              <w:rPr>
                <w:rFonts w:hint="eastAsia" w:ascii="Times New Roman" w:hAnsi="Times New Roman" w:eastAsia="仿宋_GB2312"/>
                <w:snapToGrid w:val="0"/>
                <w:color w:val="000000"/>
                <w:kern w:val="0"/>
                <w:sz w:val="24"/>
                <w:szCs w:val="24"/>
              </w:rPr>
              <w:t>，危险废物仓库满足《危险废物贮存污染控制标准GB18597 2001》（2013年修订）要求。</w:t>
            </w:r>
            <w:r>
              <w:rPr>
                <w:rFonts w:ascii="Times New Roman" w:hAnsi="Times New Roman" w:eastAsia="仿宋_GB2312"/>
                <w:snapToGrid w:val="0"/>
                <w:color w:val="000000"/>
                <w:kern w:val="0"/>
                <w:sz w:val="24"/>
                <w:szCs w:val="24"/>
              </w:rPr>
              <w:t>危险废物贮存场所基本情况见表7-17。</w:t>
            </w:r>
          </w:p>
          <w:p>
            <w:pPr>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表7-17 危险废物贮存场所基本情况表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28"/>
              <w:gridCol w:w="1207"/>
              <w:gridCol w:w="820"/>
              <w:gridCol w:w="1214"/>
              <w:gridCol w:w="708"/>
              <w:gridCol w:w="851"/>
              <w:gridCol w:w="816"/>
              <w:gridCol w:w="653"/>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序号</w:t>
                  </w:r>
                </w:p>
              </w:tc>
              <w:tc>
                <w:tcPr>
                  <w:tcW w:w="438"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贮存场所名称</w:t>
                  </w:r>
                </w:p>
              </w:tc>
              <w:tc>
                <w:tcPr>
                  <w:tcW w:w="726"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危险废物名称</w:t>
                  </w:r>
                </w:p>
              </w:tc>
              <w:tc>
                <w:tcPr>
                  <w:tcW w:w="493"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危险废物类别</w:t>
                  </w:r>
                </w:p>
              </w:tc>
              <w:tc>
                <w:tcPr>
                  <w:tcW w:w="730"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危险废物代码</w:t>
                  </w:r>
                </w:p>
              </w:tc>
              <w:tc>
                <w:tcPr>
                  <w:tcW w:w="426"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位置</w:t>
                  </w:r>
                </w:p>
              </w:tc>
              <w:tc>
                <w:tcPr>
                  <w:tcW w:w="512"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占地</w:t>
                  </w:r>
                </w:p>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面积</w:t>
                  </w:r>
                </w:p>
              </w:tc>
              <w:tc>
                <w:tcPr>
                  <w:tcW w:w="491"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贮存方式</w:t>
                  </w:r>
                </w:p>
              </w:tc>
              <w:tc>
                <w:tcPr>
                  <w:tcW w:w="393"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贮存能力</w:t>
                  </w:r>
                </w:p>
              </w:tc>
              <w:tc>
                <w:tcPr>
                  <w:tcW w:w="534" w:type="pct"/>
                  <w:shd w:val="clear" w:color="auto" w:fill="auto"/>
                  <w:vAlign w:val="center"/>
                </w:tcPr>
                <w:p>
                  <w:pPr>
                    <w:adjustRightInd w:val="0"/>
                    <w:snapToGrid w:val="0"/>
                    <w:jc w:val="center"/>
                    <w:rPr>
                      <w:rFonts w:ascii="Times New Roman" w:hAnsi="Times New Roman" w:eastAsia="仿宋_GB2312"/>
                      <w:b/>
                      <w:snapToGrid w:val="0"/>
                      <w:color w:val="000000"/>
                      <w:kern w:val="0"/>
                      <w:sz w:val="18"/>
                      <w:szCs w:val="18"/>
                    </w:rPr>
                  </w:pPr>
                  <w:r>
                    <w:rPr>
                      <w:rFonts w:ascii="Times New Roman" w:hAnsi="Times New Roman" w:eastAsia="仿宋_GB2312"/>
                      <w:b/>
                      <w:snapToGrid w:val="0"/>
                      <w:color w:val="000000"/>
                      <w:kern w:val="0"/>
                      <w:sz w:val="18"/>
                      <w:szCs w:val="18"/>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1</w:t>
                  </w:r>
                </w:p>
              </w:tc>
              <w:tc>
                <w:tcPr>
                  <w:tcW w:w="438"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危废</w:t>
                  </w:r>
                </w:p>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仓库</w:t>
                  </w:r>
                </w:p>
              </w:tc>
              <w:tc>
                <w:tcPr>
                  <w:tcW w:w="726"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w:t>
                  </w:r>
                  <w:r>
                    <w:rPr>
                      <w:rFonts w:hint="eastAsia" w:ascii="Times New Roman" w:hAnsi="Times New Roman" w:eastAsia="仿宋_GB2312"/>
                      <w:color w:val="000000"/>
                      <w:sz w:val="18"/>
                      <w:szCs w:val="18"/>
                    </w:rPr>
                    <w:t>玻璃器皿</w:t>
                  </w:r>
                  <w:r>
                    <w:rPr>
                      <w:rFonts w:ascii="Times New Roman" w:hAnsi="Times New Roman" w:eastAsia="仿宋_GB2312"/>
                      <w:color w:val="000000"/>
                      <w:sz w:val="18"/>
                      <w:szCs w:val="18"/>
                    </w:rPr>
                    <w:t>等耗材</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26"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1层危险废物仓库</w:t>
                  </w:r>
                </w:p>
              </w:tc>
              <w:tc>
                <w:tcPr>
                  <w:tcW w:w="512"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20m</w:t>
                  </w:r>
                  <w:r>
                    <w:rPr>
                      <w:rFonts w:ascii="Times New Roman" w:hAnsi="Times New Roman" w:eastAsia="仿宋_GB2312"/>
                      <w:snapToGrid w:val="0"/>
                      <w:color w:val="000000"/>
                      <w:kern w:val="0"/>
                      <w:sz w:val="18"/>
                      <w:szCs w:val="18"/>
                      <w:vertAlign w:val="superscript"/>
                    </w:rPr>
                    <w:t>2</w:t>
                  </w: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吨袋、密封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0</w:t>
                  </w:r>
                  <w:r>
                    <w:rPr>
                      <w:rFonts w:ascii="Times New Roman" w:hAnsi="Times New Roman" w:eastAsia="仿宋_GB2312"/>
                      <w:snapToGrid w:val="0"/>
                      <w:color w:val="000000"/>
                      <w:kern w:val="0"/>
                      <w:sz w:val="18"/>
                      <w:szCs w:val="18"/>
                    </w:rPr>
                    <w:t>.2</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2</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废试剂瓶</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吨袋、密封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0</w:t>
                  </w:r>
                  <w:r>
                    <w:rPr>
                      <w:rFonts w:ascii="Times New Roman" w:hAnsi="Times New Roman" w:eastAsia="仿宋_GB2312"/>
                      <w:snapToGrid w:val="0"/>
                      <w:color w:val="000000"/>
                      <w:kern w:val="0"/>
                      <w:sz w:val="18"/>
                      <w:szCs w:val="18"/>
                    </w:rPr>
                    <w:t>.3</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3</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废药剂包装</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吨袋、密封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0</w:t>
                  </w:r>
                  <w:r>
                    <w:rPr>
                      <w:rFonts w:ascii="Times New Roman" w:hAnsi="Times New Roman" w:eastAsia="仿宋_GB2312"/>
                      <w:snapToGrid w:val="0"/>
                      <w:color w:val="000000"/>
                      <w:kern w:val="0"/>
                      <w:sz w:val="18"/>
                      <w:szCs w:val="18"/>
                    </w:rPr>
                    <w:t>.1</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4</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废固体样品</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桶装、密封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1.5</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5</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废</w:t>
                  </w:r>
                  <w:r>
                    <w:rPr>
                      <w:rFonts w:hint="eastAsia" w:ascii="Times New Roman" w:hAnsi="Times New Roman" w:eastAsia="仿宋_GB2312"/>
                      <w:color w:val="000000"/>
                      <w:sz w:val="18"/>
                      <w:szCs w:val="18"/>
                    </w:rPr>
                    <w:t>液体</w:t>
                  </w:r>
                  <w:r>
                    <w:rPr>
                      <w:rFonts w:ascii="Times New Roman" w:hAnsi="Times New Roman" w:eastAsia="仿宋_GB2312"/>
                      <w:color w:val="000000"/>
                      <w:sz w:val="18"/>
                      <w:szCs w:val="18"/>
                    </w:rPr>
                    <w:t>样品</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桶装、密封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0</w:t>
                  </w:r>
                  <w:r>
                    <w:rPr>
                      <w:rFonts w:ascii="Times New Roman" w:hAnsi="Times New Roman" w:eastAsia="仿宋_GB2312"/>
                      <w:snapToGrid w:val="0"/>
                      <w:color w:val="000000"/>
                      <w:kern w:val="0"/>
                      <w:sz w:val="18"/>
                      <w:szCs w:val="18"/>
                    </w:rPr>
                    <w:t>.5</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6</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jc w:val="center"/>
                    <w:rPr>
                      <w:rFonts w:ascii="Times New Roman" w:hAnsi="Times New Roman" w:eastAsia="仿宋_GB2312"/>
                      <w:color w:val="000000"/>
                      <w:sz w:val="18"/>
                      <w:szCs w:val="18"/>
                    </w:rPr>
                  </w:pPr>
                  <w:r>
                    <w:rPr>
                      <w:rFonts w:hint="eastAsia" w:ascii="Times New Roman" w:hAnsi="Times New Roman" w:eastAsia="仿宋_GB2312"/>
                      <w:color w:val="000000"/>
                      <w:sz w:val="18"/>
                      <w:szCs w:val="18"/>
                    </w:rPr>
                    <w:t>科研、检测废液及前两道清洗废液</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900-047-49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桶装、密封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1.2</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7</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过期化学品</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jc w:val="center"/>
                    <w:rPr>
                      <w:rFonts w:ascii="Times New Roman" w:hAnsi="Times New Roman" w:eastAsia="仿宋_GB2312"/>
                      <w:color w:val="000000"/>
                      <w:sz w:val="18"/>
                      <w:szCs w:val="18"/>
                    </w:rPr>
                  </w:pPr>
                  <w:r>
                    <w:rPr>
                      <w:rFonts w:ascii="Times New Roman" w:hAnsi="Times New Roman" w:eastAsia="仿宋_GB2312"/>
                      <w:color w:val="000000"/>
                      <w:sz w:val="18"/>
                      <w:szCs w:val="18"/>
                    </w:rPr>
                    <w:t>900-999-49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桶装、密封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hint="eastAsia" w:ascii="Times New Roman" w:hAnsi="Times New Roman" w:eastAsia="仿宋_GB2312"/>
                      <w:snapToGrid w:val="0"/>
                      <w:color w:val="000000"/>
                      <w:kern w:val="0"/>
                      <w:sz w:val="18"/>
                      <w:szCs w:val="18"/>
                    </w:rPr>
                    <w:t>0</w:t>
                  </w:r>
                  <w:r>
                    <w:rPr>
                      <w:rFonts w:ascii="Times New Roman" w:hAnsi="Times New Roman" w:eastAsia="仿宋_GB2312"/>
                      <w:snapToGrid w:val="0"/>
                      <w:color w:val="000000"/>
                      <w:kern w:val="0"/>
                      <w:sz w:val="18"/>
                      <w:szCs w:val="18"/>
                    </w:rPr>
                    <w:t>.5t/a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8</w:t>
                  </w:r>
                </w:p>
              </w:tc>
              <w:tc>
                <w:tcPr>
                  <w:tcW w:w="43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726"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color w:val="000000"/>
                      <w:sz w:val="18"/>
                      <w:szCs w:val="18"/>
                    </w:rPr>
                    <w:t>废活性炭</w:t>
                  </w:r>
                </w:p>
              </w:tc>
              <w:tc>
                <w:tcPr>
                  <w:tcW w:w="4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HW49</w:t>
                  </w:r>
                </w:p>
              </w:tc>
              <w:tc>
                <w:tcPr>
                  <w:tcW w:w="730"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color w:val="000000"/>
                      <w:sz w:val="18"/>
                      <w:szCs w:val="18"/>
                    </w:rPr>
                    <w:t>900-039-49</w:t>
                  </w:r>
                </w:p>
              </w:tc>
              <w:tc>
                <w:tcPr>
                  <w:tcW w:w="426"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51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p>
              </w:tc>
              <w:tc>
                <w:tcPr>
                  <w:tcW w:w="491"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吨袋、密封</w:t>
                  </w:r>
                </w:p>
              </w:tc>
              <w:tc>
                <w:tcPr>
                  <w:tcW w:w="393"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0.5</w:t>
                  </w:r>
                  <w:r>
                    <w:rPr>
                      <w:rFonts w:hint="eastAsia" w:ascii="Times New Roman" w:hAnsi="Times New Roman" w:eastAsia="仿宋_GB2312"/>
                      <w:snapToGrid w:val="0"/>
                      <w:color w:val="000000"/>
                      <w:kern w:val="0"/>
                      <w:sz w:val="18"/>
                      <w:szCs w:val="18"/>
                    </w:rPr>
                    <w:t>t</w:t>
                  </w:r>
                  <w:r>
                    <w:rPr>
                      <w:rFonts w:ascii="Times New Roman" w:hAnsi="Times New Roman" w:eastAsia="仿宋_GB2312"/>
                      <w:snapToGrid w:val="0"/>
                      <w:color w:val="000000"/>
                      <w:kern w:val="0"/>
                      <w:sz w:val="18"/>
                      <w:szCs w:val="18"/>
                    </w:rPr>
                    <w:t>/</w:t>
                  </w:r>
                  <w:r>
                    <w:rPr>
                      <w:rFonts w:hint="eastAsia" w:ascii="Times New Roman" w:hAnsi="Times New Roman" w:eastAsia="仿宋_GB2312"/>
                      <w:snapToGrid w:val="0"/>
                      <w:color w:val="000000"/>
                      <w:kern w:val="0"/>
                      <w:sz w:val="18"/>
                      <w:szCs w:val="18"/>
                    </w:rPr>
                    <w:t>a</w:t>
                  </w:r>
                </w:p>
              </w:tc>
              <w:tc>
                <w:tcPr>
                  <w:tcW w:w="534" w:type="pct"/>
                  <w:shd w:val="clear" w:color="auto" w:fill="auto"/>
                  <w:vAlign w:val="center"/>
                </w:tcPr>
                <w:p>
                  <w:pPr>
                    <w:adjustRightInd w:val="0"/>
                    <w:snapToGrid w:val="0"/>
                    <w:jc w:val="center"/>
                    <w:rPr>
                      <w:rFonts w:ascii="Times New Roman" w:hAnsi="Times New Roman" w:eastAsia="仿宋_GB2312"/>
                      <w:snapToGrid w:val="0"/>
                      <w:color w:val="000000"/>
                      <w:kern w:val="0"/>
                      <w:sz w:val="18"/>
                      <w:szCs w:val="18"/>
                    </w:rPr>
                  </w:pPr>
                  <w:r>
                    <w:rPr>
                      <w:rFonts w:ascii="Times New Roman" w:hAnsi="Times New Roman" w:eastAsia="仿宋_GB2312"/>
                      <w:snapToGrid w:val="0"/>
                      <w:color w:val="000000"/>
                      <w:kern w:val="0"/>
                      <w:sz w:val="18"/>
                      <w:szCs w:val="18"/>
                    </w:rPr>
                    <w:t>3个月</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南京化学工业园天宇固体废物处置有限公司位于南京市化学工业园区玉带片区Y09-2-3地块，处置核准回转窑焚烧处置医药废物（HW02），废药物、药品（HW03），农药废物（HW04），木材防腐剂废物（HW05），废有机溶剂与含有机溶剂废物（HW06），热处理含氰废物（HW07），废矿物油与含矿物油废物（HW08），油/水、烃/水混合物或乳化液（HW09），精（蒸）馏残渣（HW11），染料、涂料废物（HW12，不含264-010-12），有机树脂类废物（HW13），新化学药品废物（HW14），有机磷化合物废物（HW37），有机氰化物废物（HW38），含酚废物（HW39），含醚废物（HW40），含有机卤化物废物（HW45，不含261-086-45），其他废物（HW49，仅限900-039-49、900-041-49、900-042-49、900-046-49、900-047-49、900-999-49），废催化剂（HW50，仅限275-009-50、276-006-50、263-013-50、#261-152-50、271-006-50、261-151-50、261-183-50、900-048-50），合计19800吨/年。</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项目产生的危险废物均在南京化学工业园天宇固体废物处置有限公司处置范围内，占南京化学工业园天宇固体废物处置有限公司处理量极少。</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综上，建设单位强化废物产生、收集、贮运各环节的管理，杜绝固废在的散失、渗漏。做好固体废物的收集和储存相关防护工作，收集后进行有效处置。建立完善的规章制度，以降低固体废物散落对周围环境的影响。因此，建设项目产生固体废物经有效处理和处置后对环境影响较小，固废处理措施是可行的。</w:t>
            </w:r>
          </w:p>
          <w:p>
            <w:pPr>
              <w:adjustRightInd w:val="0"/>
              <w:snapToGrid w:val="0"/>
              <w:spacing w:line="48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（4）声环境影响分析</w:t>
            </w:r>
          </w:p>
          <w:p>
            <w:pPr>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仿宋_GB2312" w:hAnsi="Times New Roman" w:eastAsia="仿宋_GB2312"/>
                <w:color w:val="000000"/>
                <w:sz w:val="24"/>
                <w:szCs w:val="24"/>
              </w:rPr>
              <w:t>①</w:t>
            </w:r>
            <w:r>
              <w:rPr>
                <w:rFonts w:ascii="Times New Roman" w:hAnsi="Times New Roman" w:eastAsia="仿宋_GB2312"/>
                <w:color w:val="000000"/>
                <w:sz w:val="24"/>
                <w:szCs w:val="24"/>
              </w:rPr>
              <w:t>评价等级判定</w:t>
            </w:r>
          </w:p>
          <w:p>
            <w:pPr>
              <w:adjustRightInd w:val="0"/>
              <w:snapToGrid w:val="0"/>
              <w:spacing w:line="500" w:lineRule="exact"/>
              <w:ind w:firstLine="480" w:firstLineChars="200"/>
              <w:rPr>
                <w:rFonts w:ascii="仿宋_GB2312" w:eastAsia="仿宋_GB2312"/>
                <w:sz w:val="24"/>
                <w:szCs w:val="24"/>
              </w:rPr>
            </w:pPr>
            <w:r>
              <w:rPr>
                <w:rFonts w:hint="eastAsia" w:ascii="仿宋_GB2312" w:eastAsia="仿宋_GB2312"/>
                <w:sz w:val="24"/>
                <w:szCs w:val="24"/>
              </w:rPr>
              <w:t>根据</w:t>
            </w:r>
            <w:r>
              <w:rPr>
                <w:rFonts w:ascii="Times New Roman" w:hAnsi="Times New Roman" w:eastAsia="仿宋_GB2312"/>
                <w:color w:val="000000"/>
                <w:sz w:val="24"/>
                <w:szCs w:val="24"/>
              </w:rPr>
              <w:t>《南京市声环境功能区划分调整方案》（宁政发[2014]34号），项目区域为2类声环境功能区</w:t>
            </w:r>
            <w:r>
              <w:rPr>
                <w:rFonts w:hint="eastAsia" w:ascii="Times New Roman" w:hAnsi="Times New Roman" w:eastAsia="仿宋_GB2312"/>
                <w:color w:val="000000"/>
                <w:sz w:val="24"/>
                <w:szCs w:val="24"/>
              </w:rPr>
              <w:t>，按照</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环境影响评价技术导则 声环境</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H</w:t>
            </w:r>
            <w:r>
              <w:rPr>
                <w:rFonts w:ascii="Times New Roman" w:hAnsi="Times New Roman" w:eastAsia="仿宋_GB2312"/>
                <w:color w:val="000000"/>
                <w:sz w:val="24"/>
                <w:szCs w:val="24"/>
              </w:rPr>
              <w:t>J2.4-2009）</w:t>
            </w:r>
            <w:r>
              <w:rPr>
                <w:rFonts w:hint="eastAsia" w:ascii="Times New Roman" w:hAnsi="Times New Roman" w:eastAsia="仿宋_GB2312"/>
                <w:color w:val="000000"/>
                <w:sz w:val="24"/>
                <w:szCs w:val="24"/>
              </w:rPr>
              <w:t>,建设项目所处的声环境功能区为2类地区的，声环境评价工作等级为二级。</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仿宋_GB2312" w:hAnsi="Times New Roman" w:eastAsia="仿宋_GB2312"/>
                <w:snapToGrid w:val="0"/>
                <w:color w:val="000000"/>
                <w:kern w:val="0"/>
                <w:sz w:val="24"/>
                <w:szCs w:val="24"/>
              </w:rPr>
              <w:t>②</w:t>
            </w:r>
            <w:r>
              <w:rPr>
                <w:rFonts w:ascii="Times New Roman" w:hAnsi="Times New Roman" w:eastAsia="仿宋_GB2312"/>
                <w:snapToGrid w:val="0"/>
                <w:color w:val="000000"/>
                <w:kern w:val="0"/>
                <w:sz w:val="24"/>
                <w:szCs w:val="24"/>
              </w:rPr>
              <w:t>噪声预测模式：</w:t>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以拟建项目的边界作为关心点，根据声环境评价导则（HJ2.4-2009）的规定，选取预测模式，应用过程中将根据具体情况作必要简化，计算过程如下：</w:t>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（1）声环境影响预测模式</w:t>
            </w:r>
            <w:r>
              <w:rPr>
                <w:rFonts w:ascii="Times New Roman" w:hAnsi="Times New Roman" w:eastAsia="仿宋_GB2312"/>
                <w:sz w:val="24"/>
                <w:szCs w:val="24"/>
              </w:rPr>
              <w:tab/>
            </w:r>
          </w:p>
          <w:p>
            <w:pPr>
              <w:ind w:firstLine="480" w:firstLineChars="200"/>
              <w:jc w:val="center"/>
              <w:rPr>
                <w:rFonts w:ascii="Times New Roman" w:hAnsi="Times New Roman" w:eastAsia="仿宋_GB2312"/>
                <w:i/>
                <w:iCs/>
                <w:sz w:val="24"/>
                <w:szCs w:val="24"/>
              </w:rPr>
            </w:pPr>
            <w:r>
              <w:rPr>
                <w:rFonts w:ascii="Times New Roman" w:hAnsi="Times New Roman"/>
                <w:sz w:val="24"/>
                <w:szCs w:val="24"/>
              </w:rPr>
              <w:drawing>
                <wp:inline distT="0" distB="0" distL="114300" distR="114300">
                  <wp:extent cx="1628775" cy="361950"/>
                  <wp:effectExtent l="0" t="0" r="9525" b="0"/>
                  <wp:docPr id="49" name="图片 2" descr="说明: C:\Users\ADMINI~1\AppData\Local\Temp\ksohtml\wps648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说明: C:\Users\ADMINI~1\AppData\Local\Temp\ksohtml\wps6486.tmp.png"/>
                          <pic:cNvPicPr>
                            <a:picLocks noChangeAspect="1"/>
                          </pic:cNvPicPr>
                        </pic:nvPicPr>
                        <pic:blipFill>
                          <a:blip r:embed="rId18"/>
                          <a:stretch>
                            <a:fillRect/>
                          </a:stretch>
                        </pic:blipFill>
                        <pic:spPr>
                          <a:xfrm>
                            <a:off x="0" y="0"/>
                            <a:ext cx="1628775" cy="361950"/>
                          </a:xfrm>
                          <a:prstGeom prst="rect">
                            <a:avLst/>
                          </a:prstGeom>
                          <a:noFill/>
                          <a:ln w="9525">
                            <a:noFill/>
                          </a:ln>
                        </pic:spPr>
                      </pic:pic>
                    </a:graphicData>
                  </a:graphic>
                </wp:inline>
              </w:drawing>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式中：</w:t>
            </w:r>
            <w:r>
              <w:rPr>
                <w:rFonts w:ascii="Times New Roman" w:hAnsi="Times New Roman" w:eastAsia="仿宋_GB2312"/>
                <w:i/>
                <w:iCs/>
                <w:sz w:val="24"/>
                <w:szCs w:val="24"/>
              </w:rPr>
              <w:t>L</w:t>
            </w:r>
            <w:r>
              <w:rPr>
                <w:rFonts w:ascii="Times New Roman" w:hAnsi="Times New Roman" w:eastAsia="仿宋_GB2312"/>
                <w:i/>
                <w:iCs/>
                <w:sz w:val="24"/>
                <w:szCs w:val="24"/>
                <w:vertAlign w:val="subscript"/>
              </w:rPr>
              <w:t>A</w:t>
            </w:r>
            <w:r>
              <w:rPr>
                <w:rFonts w:ascii="Times New Roman" w:hAnsi="Times New Roman" w:eastAsia="仿宋_GB2312"/>
                <w:i/>
                <w:iCs/>
                <w:sz w:val="24"/>
                <w:szCs w:val="24"/>
              </w:rPr>
              <w:t>（r）</w:t>
            </w:r>
            <w:r>
              <w:rPr>
                <w:rFonts w:ascii="Times New Roman" w:hAnsi="Times New Roman" w:eastAsia="仿宋_GB2312"/>
                <w:sz w:val="24"/>
                <w:szCs w:val="24"/>
              </w:rPr>
              <w:t>——预测点r处A声级，dB(A)；</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i/>
                <w:iCs/>
                <w:sz w:val="24"/>
                <w:szCs w:val="24"/>
              </w:rPr>
              <w:t>L</w:t>
            </w:r>
            <w:r>
              <w:rPr>
                <w:rFonts w:ascii="Times New Roman" w:hAnsi="Times New Roman" w:eastAsia="仿宋_GB2312"/>
                <w:i/>
                <w:iCs/>
                <w:sz w:val="24"/>
                <w:szCs w:val="24"/>
                <w:vertAlign w:val="subscript"/>
              </w:rPr>
              <w:t>A</w:t>
            </w:r>
            <w:r>
              <w:rPr>
                <w:rFonts w:ascii="Times New Roman" w:hAnsi="Times New Roman" w:eastAsia="仿宋_GB2312"/>
                <w:i/>
                <w:iCs/>
                <w:sz w:val="24"/>
                <w:szCs w:val="24"/>
              </w:rPr>
              <w:t>（r</w:t>
            </w:r>
            <w:r>
              <w:rPr>
                <w:rFonts w:ascii="Times New Roman" w:hAnsi="Times New Roman" w:eastAsia="仿宋_GB2312"/>
                <w:i/>
                <w:iCs/>
                <w:sz w:val="24"/>
                <w:szCs w:val="24"/>
                <w:vertAlign w:val="subscript"/>
              </w:rPr>
              <w:t>0</w:t>
            </w:r>
            <w:r>
              <w:rPr>
                <w:rFonts w:ascii="Times New Roman" w:hAnsi="Times New Roman" w:eastAsia="仿宋_GB2312"/>
                <w:i/>
                <w:iCs/>
                <w:sz w:val="24"/>
                <w:szCs w:val="24"/>
              </w:rPr>
              <w:t>）</w:t>
            </w:r>
            <w:r>
              <w:rPr>
                <w:rFonts w:ascii="Times New Roman" w:hAnsi="Times New Roman" w:eastAsia="仿宋_GB2312"/>
                <w:sz w:val="24"/>
                <w:szCs w:val="24"/>
              </w:rPr>
              <w:t>——r</w:t>
            </w:r>
            <w:r>
              <w:rPr>
                <w:rFonts w:ascii="Times New Roman" w:hAnsi="Times New Roman" w:eastAsia="仿宋_GB2312"/>
                <w:sz w:val="24"/>
                <w:szCs w:val="24"/>
                <w:vertAlign w:val="subscript"/>
              </w:rPr>
              <w:t>0</w:t>
            </w:r>
            <w:r>
              <w:rPr>
                <w:rFonts w:ascii="Times New Roman" w:hAnsi="Times New Roman" w:eastAsia="仿宋_GB2312"/>
                <w:sz w:val="24"/>
                <w:szCs w:val="24"/>
              </w:rPr>
              <w:t>处A声级，dB(A)；</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i/>
                <w:iCs/>
                <w:sz w:val="24"/>
                <w:szCs w:val="24"/>
              </w:rPr>
              <w:t xml:space="preserve">A </w:t>
            </w:r>
            <w:r>
              <w:rPr>
                <w:rFonts w:ascii="Times New Roman" w:hAnsi="Times New Roman" w:eastAsia="仿宋_GB2312"/>
                <w:sz w:val="24"/>
                <w:szCs w:val="24"/>
              </w:rPr>
              <w:t>— 倍频带衰减，dB（A）；</w:t>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（2）声源在预测点产生的等效声级贡献值(</w:t>
            </w:r>
            <w:r>
              <w:rPr>
                <w:rFonts w:ascii="Times New Roman" w:hAnsi="Times New Roman" w:eastAsia="仿宋_GB2312"/>
                <w:i/>
                <w:iCs/>
                <w:sz w:val="24"/>
                <w:szCs w:val="24"/>
              </w:rPr>
              <w:t>L</w:t>
            </w:r>
            <w:r>
              <w:rPr>
                <w:rFonts w:ascii="Times New Roman" w:hAnsi="Times New Roman" w:eastAsia="仿宋_GB2312"/>
                <w:i/>
                <w:iCs/>
                <w:sz w:val="24"/>
                <w:szCs w:val="24"/>
                <w:vertAlign w:val="subscript"/>
              </w:rPr>
              <w:t>eqg</w:t>
            </w:r>
            <w:r>
              <w:rPr>
                <w:rFonts w:ascii="Times New Roman" w:hAnsi="Times New Roman" w:eastAsia="仿宋_GB2312"/>
                <w:sz w:val="24"/>
                <w:szCs w:val="24"/>
              </w:rPr>
              <w:t>)计算公式：</w:t>
            </w:r>
          </w:p>
          <w:p>
            <w:pPr>
              <w:ind w:firstLine="480" w:firstLineChars="200"/>
              <w:jc w:val="center"/>
              <w:rPr>
                <w:rFonts w:ascii="Times New Roman" w:hAnsi="Times New Roman" w:eastAsia="仿宋_GB2312"/>
                <w:sz w:val="24"/>
                <w:szCs w:val="24"/>
              </w:rPr>
            </w:pPr>
            <w:r>
              <w:rPr>
                <w:rFonts w:ascii="Times New Roman" w:hAnsi="Times New Roman"/>
                <w:sz w:val="24"/>
                <w:szCs w:val="24"/>
              </w:rPr>
              <w:drawing>
                <wp:inline distT="0" distB="0" distL="114300" distR="114300">
                  <wp:extent cx="2466975" cy="542925"/>
                  <wp:effectExtent l="0" t="0" r="9525" b="9525"/>
                  <wp:docPr id="50" name="图片 3" descr="说明: C:\Users\ADMINI~1\AppData\Local\Temp\ksohtml\wps649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说明: C:\Users\ADMINI~1\AppData\Local\Temp\ksohtml\wps6497.tmp.png"/>
                          <pic:cNvPicPr>
                            <a:picLocks noChangeAspect="1"/>
                          </pic:cNvPicPr>
                        </pic:nvPicPr>
                        <pic:blipFill>
                          <a:blip r:embed="rId19"/>
                          <a:stretch>
                            <a:fillRect/>
                          </a:stretch>
                        </pic:blipFill>
                        <pic:spPr>
                          <a:xfrm>
                            <a:off x="0" y="0"/>
                            <a:ext cx="2466975" cy="542925"/>
                          </a:xfrm>
                          <a:prstGeom prst="rect">
                            <a:avLst/>
                          </a:prstGeom>
                          <a:noFill/>
                          <a:ln w="9525">
                            <a:noFill/>
                          </a:ln>
                        </pic:spPr>
                      </pic:pic>
                    </a:graphicData>
                  </a:graphic>
                </wp:inline>
              </w:drawing>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式中：</w:t>
            </w:r>
            <w:r>
              <w:rPr>
                <w:rFonts w:ascii="Times New Roman" w:hAnsi="Times New Roman" w:eastAsia="仿宋_GB2312"/>
                <w:i/>
                <w:iCs/>
                <w:sz w:val="24"/>
                <w:szCs w:val="24"/>
              </w:rPr>
              <w:t>L</w:t>
            </w:r>
            <w:r>
              <w:rPr>
                <w:rFonts w:ascii="Times New Roman" w:hAnsi="Times New Roman" w:eastAsia="仿宋_GB2312"/>
                <w:i/>
                <w:iCs/>
                <w:sz w:val="24"/>
                <w:szCs w:val="24"/>
                <w:vertAlign w:val="subscript"/>
              </w:rPr>
              <w:t>eqg</w:t>
            </w:r>
            <w:r>
              <w:rPr>
                <w:rFonts w:ascii="Times New Roman" w:hAnsi="Times New Roman" w:eastAsia="仿宋_GB2312"/>
                <w:sz w:val="24"/>
                <w:szCs w:val="24"/>
              </w:rPr>
              <w:t>—项目声源在预测点的等效声级贡献值，dB(A)；</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i/>
                <w:iCs/>
                <w:sz w:val="24"/>
                <w:szCs w:val="24"/>
              </w:rPr>
              <w:t>L</w:t>
            </w:r>
            <w:r>
              <w:rPr>
                <w:rFonts w:ascii="Times New Roman" w:hAnsi="Times New Roman" w:eastAsia="仿宋_GB2312"/>
                <w:i/>
                <w:iCs/>
                <w:sz w:val="24"/>
                <w:szCs w:val="24"/>
                <w:vertAlign w:val="subscript"/>
              </w:rPr>
              <w:t>Ai</w:t>
            </w:r>
            <w:r>
              <w:rPr>
                <w:rFonts w:ascii="Times New Roman" w:hAnsi="Times New Roman" w:eastAsia="仿宋_GB2312"/>
                <w:sz w:val="24"/>
                <w:szCs w:val="24"/>
              </w:rPr>
              <w:t>—</w:t>
            </w:r>
            <w:r>
              <w:rPr>
                <w:rFonts w:ascii="Times New Roman" w:hAnsi="Times New Roman" w:eastAsia="仿宋_GB2312"/>
                <w:i/>
                <w:iCs/>
                <w:sz w:val="24"/>
                <w:szCs w:val="24"/>
              </w:rPr>
              <w:t>i</w:t>
            </w:r>
            <w:r>
              <w:rPr>
                <w:rFonts w:ascii="Times New Roman" w:hAnsi="Times New Roman" w:eastAsia="仿宋_GB2312"/>
                <w:sz w:val="24"/>
                <w:szCs w:val="24"/>
              </w:rPr>
              <w:t>声源在预测点产生的A声级，dB(A)；</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i/>
                <w:iCs/>
                <w:sz w:val="24"/>
                <w:szCs w:val="24"/>
              </w:rPr>
              <w:t>T</w:t>
            </w:r>
            <w:r>
              <w:rPr>
                <w:rFonts w:ascii="Times New Roman" w:hAnsi="Times New Roman" w:eastAsia="仿宋_GB2312"/>
                <w:sz w:val="24"/>
                <w:szCs w:val="24"/>
              </w:rPr>
              <w:t>— 预测计算的时间段，s；</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i/>
                <w:iCs/>
                <w:sz w:val="24"/>
                <w:szCs w:val="24"/>
              </w:rPr>
              <w:t>t</w:t>
            </w:r>
            <w:r>
              <w:rPr>
                <w:rFonts w:ascii="Times New Roman" w:hAnsi="Times New Roman" w:eastAsia="仿宋_GB2312"/>
                <w:i/>
                <w:iCs/>
                <w:sz w:val="24"/>
                <w:szCs w:val="24"/>
                <w:vertAlign w:val="subscript"/>
              </w:rPr>
              <w:t>i</w:t>
            </w:r>
            <w:r>
              <w:rPr>
                <w:rFonts w:ascii="Times New Roman" w:hAnsi="Times New Roman" w:eastAsia="仿宋_GB2312"/>
                <w:i/>
                <w:iCs/>
                <w:sz w:val="24"/>
                <w:szCs w:val="24"/>
              </w:rPr>
              <w:t xml:space="preserve"> </w:t>
            </w:r>
            <w:r>
              <w:rPr>
                <w:rFonts w:ascii="Times New Roman" w:hAnsi="Times New Roman" w:eastAsia="仿宋_GB2312"/>
                <w:sz w:val="24"/>
                <w:szCs w:val="24"/>
              </w:rPr>
              <w:t>—</w:t>
            </w:r>
            <w:r>
              <w:rPr>
                <w:rFonts w:ascii="Times New Roman" w:hAnsi="Times New Roman" w:eastAsia="仿宋_GB2312"/>
                <w:i/>
                <w:iCs/>
                <w:sz w:val="24"/>
                <w:szCs w:val="24"/>
              </w:rPr>
              <w:t>i</w:t>
            </w:r>
            <w:r>
              <w:rPr>
                <w:rFonts w:ascii="Times New Roman" w:hAnsi="Times New Roman" w:eastAsia="仿宋_GB2312"/>
                <w:sz w:val="24"/>
                <w:szCs w:val="24"/>
              </w:rPr>
              <w:t>声源在</w:t>
            </w:r>
            <w:r>
              <w:rPr>
                <w:rFonts w:ascii="Times New Roman" w:hAnsi="Times New Roman" w:eastAsia="仿宋_GB2312"/>
                <w:i/>
                <w:iCs/>
                <w:sz w:val="24"/>
                <w:szCs w:val="24"/>
              </w:rPr>
              <w:t>T</w:t>
            </w:r>
            <w:r>
              <w:rPr>
                <w:rFonts w:ascii="Times New Roman" w:hAnsi="Times New Roman" w:eastAsia="仿宋_GB2312"/>
                <w:sz w:val="24"/>
                <w:szCs w:val="24"/>
              </w:rPr>
              <w:t>时段内的运行时间，s。</w:t>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（3）预测点的预测等效声级(</w:t>
            </w:r>
            <w:r>
              <w:rPr>
                <w:rFonts w:ascii="Times New Roman" w:hAnsi="Times New Roman" w:eastAsia="仿宋_GB2312"/>
                <w:i/>
                <w:iCs/>
                <w:sz w:val="24"/>
                <w:szCs w:val="24"/>
              </w:rPr>
              <w:t>L</w:t>
            </w:r>
            <w:r>
              <w:rPr>
                <w:rFonts w:ascii="Times New Roman" w:hAnsi="Times New Roman" w:eastAsia="仿宋_GB2312"/>
                <w:i/>
                <w:iCs/>
                <w:sz w:val="24"/>
                <w:szCs w:val="24"/>
                <w:vertAlign w:val="subscript"/>
              </w:rPr>
              <w:t>eq</w:t>
            </w:r>
            <w:r>
              <w:rPr>
                <w:rFonts w:ascii="Times New Roman" w:hAnsi="Times New Roman" w:eastAsia="仿宋_GB2312"/>
                <w:i/>
                <w:iCs/>
                <w:sz w:val="24"/>
                <w:szCs w:val="24"/>
              </w:rPr>
              <w:t xml:space="preserve"> </w:t>
            </w:r>
            <w:r>
              <w:rPr>
                <w:rFonts w:ascii="Times New Roman" w:hAnsi="Times New Roman" w:eastAsia="仿宋_GB2312"/>
                <w:sz w:val="24"/>
                <w:szCs w:val="24"/>
              </w:rPr>
              <w:t>)计算公式：</w:t>
            </w:r>
          </w:p>
          <w:p>
            <w:pPr>
              <w:ind w:firstLine="480" w:firstLineChars="200"/>
              <w:jc w:val="center"/>
              <w:rPr>
                <w:rFonts w:ascii="Times New Roman" w:hAnsi="Times New Roman" w:eastAsia="仿宋_GB2312"/>
                <w:sz w:val="24"/>
                <w:szCs w:val="24"/>
              </w:rPr>
            </w:pPr>
            <w:r>
              <w:rPr>
                <w:rFonts w:ascii="Times New Roman" w:hAnsi="Times New Roman"/>
                <w:sz w:val="24"/>
                <w:szCs w:val="24"/>
              </w:rPr>
              <w:drawing>
                <wp:inline distT="0" distB="0" distL="114300" distR="114300">
                  <wp:extent cx="2505075" cy="495300"/>
                  <wp:effectExtent l="0" t="0" r="9525" b="0"/>
                  <wp:docPr id="51" name="图片 4" descr="说明: C:\Users\ADMINI~1\AppData\Local\Temp\ksohtml\wps649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说明: C:\Users\ADMINI~1\AppData\Local\Temp\ksohtml\wps6498.tmp.png"/>
                          <pic:cNvPicPr>
                            <a:picLocks noChangeAspect="1"/>
                          </pic:cNvPicPr>
                        </pic:nvPicPr>
                        <pic:blipFill>
                          <a:blip r:embed="rId20"/>
                          <a:stretch>
                            <a:fillRect/>
                          </a:stretch>
                        </pic:blipFill>
                        <pic:spPr>
                          <a:xfrm>
                            <a:off x="0" y="0"/>
                            <a:ext cx="2505075" cy="495300"/>
                          </a:xfrm>
                          <a:prstGeom prst="rect">
                            <a:avLst/>
                          </a:prstGeom>
                          <a:noFill/>
                          <a:ln w="9525">
                            <a:noFill/>
                          </a:ln>
                        </pic:spPr>
                      </pic:pic>
                    </a:graphicData>
                  </a:graphic>
                </wp:inline>
              </w:drawing>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式中：</w:t>
            </w:r>
            <w:r>
              <w:rPr>
                <w:rFonts w:ascii="Times New Roman" w:hAnsi="Times New Roman" w:eastAsia="仿宋_GB2312"/>
                <w:i/>
                <w:iCs/>
                <w:sz w:val="24"/>
                <w:szCs w:val="24"/>
              </w:rPr>
              <w:t>L</w:t>
            </w:r>
            <w:r>
              <w:rPr>
                <w:rFonts w:ascii="Times New Roman" w:hAnsi="Times New Roman" w:eastAsia="仿宋_GB2312"/>
                <w:i/>
                <w:iCs/>
                <w:sz w:val="24"/>
                <w:szCs w:val="24"/>
                <w:vertAlign w:val="subscript"/>
              </w:rPr>
              <w:t>eqg</w:t>
            </w:r>
            <w:r>
              <w:rPr>
                <w:rFonts w:ascii="Times New Roman" w:hAnsi="Times New Roman" w:eastAsia="仿宋_GB2312"/>
                <w:i/>
                <w:iCs/>
                <w:sz w:val="24"/>
                <w:szCs w:val="24"/>
              </w:rPr>
              <w:t xml:space="preserve"> </w:t>
            </w:r>
            <w:r>
              <w:rPr>
                <w:rFonts w:ascii="Times New Roman" w:hAnsi="Times New Roman" w:eastAsia="仿宋_GB2312"/>
                <w:sz w:val="24"/>
                <w:szCs w:val="24"/>
              </w:rPr>
              <w:t>—项目声源在预测点的等效声级贡献值，dB(A)；</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i/>
                <w:iCs/>
                <w:sz w:val="24"/>
                <w:szCs w:val="24"/>
              </w:rPr>
              <w:t>L</w:t>
            </w:r>
            <w:r>
              <w:rPr>
                <w:rFonts w:ascii="Times New Roman" w:hAnsi="Times New Roman" w:eastAsia="仿宋_GB2312"/>
                <w:i/>
                <w:iCs/>
                <w:sz w:val="24"/>
                <w:szCs w:val="24"/>
                <w:vertAlign w:val="subscript"/>
              </w:rPr>
              <w:t>eqb</w:t>
            </w:r>
            <w:r>
              <w:rPr>
                <w:rFonts w:ascii="Times New Roman" w:hAnsi="Times New Roman" w:eastAsia="仿宋_GB2312"/>
                <w:i/>
                <w:iCs/>
                <w:sz w:val="24"/>
                <w:szCs w:val="24"/>
              </w:rPr>
              <w:t xml:space="preserve"> </w:t>
            </w:r>
            <w:r>
              <w:rPr>
                <w:rFonts w:ascii="Times New Roman" w:hAnsi="Times New Roman" w:eastAsia="仿宋_GB2312"/>
                <w:sz w:val="24"/>
                <w:szCs w:val="24"/>
              </w:rPr>
              <w:t>—预测点的背景值，dB(A)；</w:t>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（4）在环境噪声预测中各噪声源作为点声源处理，故几何发散衰减：</w:t>
            </w:r>
          </w:p>
          <w:p>
            <w:pPr>
              <w:ind w:firstLine="480" w:firstLineChars="200"/>
              <w:jc w:val="center"/>
              <w:rPr>
                <w:rFonts w:ascii="Times New Roman" w:hAnsi="Times New Roman" w:eastAsia="仿宋_GB2312"/>
                <w:sz w:val="24"/>
                <w:szCs w:val="24"/>
              </w:rPr>
            </w:pPr>
            <w:r>
              <w:rPr>
                <w:rFonts w:ascii="Times New Roman" w:hAnsi="Times New Roman"/>
                <w:sz w:val="24"/>
                <w:szCs w:val="24"/>
              </w:rPr>
              <w:drawing>
                <wp:inline distT="0" distB="0" distL="114300" distR="114300">
                  <wp:extent cx="1552575" cy="371475"/>
                  <wp:effectExtent l="0" t="0" r="9525" b="9525"/>
                  <wp:docPr id="52" name="图片 5" descr="说明: C:\Users\ADMINI~1\AppData\Local\Temp\ksohtml\wps649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说明: C:\Users\ADMINI~1\AppData\Local\Temp\ksohtml\wps6499.tmp.png"/>
                          <pic:cNvPicPr>
                            <a:picLocks noChangeAspect="1"/>
                          </pic:cNvPicPr>
                        </pic:nvPicPr>
                        <pic:blipFill>
                          <a:blip r:embed="rId21"/>
                          <a:stretch>
                            <a:fillRect/>
                          </a:stretch>
                        </pic:blipFill>
                        <pic:spPr>
                          <a:xfrm>
                            <a:off x="0" y="0"/>
                            <a:ext cx="1552575" cy="371475"/>
                          </a:xfrm>
                          <a:prstGeom prst="rect">
                            <a:avLst/>
                          </a:prstGeom>
                          <a:noFill/>
                          <a:ln w="9525">
                            <a:noFill/>
                          </a:ln>
                        </pic:spPr>
                      </pic:pic>
                    </a:graphicData>
                  </a:graphic>
                </wp:inline>
              </w:drawing>
            </w:r>
          </w:p>
          <w:p>
            <w:pPr>
              <w:spacing w:line="500" w:lineRule="exact"/>
              <w:ind w:firstLine="480" w:firstLineChars="200"/>
              <w:rPr>
                <w:rFonts w:ascii="Times New Roman" w:hAnsi="Times New Roman" w:eastAsia="仿宋_GB2312"/>
                <w:sz w:val="24"/>
                <w:szCs w:val="24"/>
              </w:rPr>
            </w:pPr>
            <w:r>
              <w:rPr>
                <w:rFonts w:ascii="Times New Roman" w:hAnsi="Times New Roman" w:eastAsia="仿宋_GB2312"/>
                <w:sz w:val="24"/>
                <w:szCs w:val="24"/>
              </w:rPr>
              <w:t>式中：A</w:t>
            </w:r>
            <w:r>
              <w:rPr>
                <w:rFonts w:ascii="Times New Roman" w:hAnsi="Times New Roman" w:eastAsia="仿宋_GB2312"/>
                <w:sz w:val="24"/>
                <w:szCs w:val="24"/>
                <w:vertAlign w:val="subscript"/>
              </w:rPr>
              <w:t>div</w:t>
            </w:r>
            <w:r>
              <w:rPr>
                <w:rFonts w:ascii="Times New Roman" w:hAnsi="Times New Roman" w:eastAsia="仿宋_GB2312"/>
                <w:sz w:val="24"/>
                <w:szCs w:val="24"/>
              </w:rPr>
              <w:t>——几何发散衰减；</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sz w:val="24"/>
                <w:szCs w:val="24"/>
              </w:rPr>
              <w:t>r</w:t>
            </w:r>
            <w:r>
              <w:rPr>
                <w:rFonts w:ascii="Times New Roman" w:hAnsi="Times New Roman" w:eastAsia="仿宋_GB2312"/>
                <w:sz w:val="24"/>
                <w:szCs w:val="24"/>
                <w:vertAlign w:val="subscript"/>
              </w:rPr>
              <w:t>0</w:t>
            </w:r>
            <w:r>
              <w:rPr>
                <w:rFonts w:ascii="Times New Roman" w:hAnsi="Times New Roman" w:eastAsia="仿宋_GB2312"/>
                <w:sz w:val="24"/>
                <w:szCs w:val="24"/>
              </w:rPr>
              <w:t>——噪声合成点与噪声源的距离，m；</w:t>
            </w:r>
          </w:p>
          <w:p>
            <w:pPr>
              <w:spacing w:line="500" w:lineRule="exact"/>
              <w:ind w:firstLine="1200" w:firstLineChars="500"/>
              <w:rPr>
                <w:rFonts w:ascii="Times New Roman" w:hAnsi="Times New Roman" w:eastAsia="仿宋_GB2312"/>
                <w:sz w:val="24"/>
                <w:szCs w:val="24"/>
              </w:rPr>
            </w:pPr>
            <w:r>
              <w:rPr>
                <w:rFonts w:ascii="Times New Roman" w:hAnsi="Times New Roman" w:eastAsia="仿宋_GB2312"/>
                <w:sz w:val="24"/>
                <w:szCs w:val="24"/>
              </w:rPr>
              <w:t>r——预测点与噪声源的距离，m。</w:t>
            </w:r>
          </w:p>
          <w:p>
            <w:pPr>
              <w:adjustRightInd w:val="0"/>
              <w:snapToGrid w:val="0"/>
              <w:spacing w:line="480" w:lineRule="exact"/>
              <w:ind w:firstLine="482" w:firstLineChars="200"/>
              <w:rPr>
                <w:rFonts w:ascii="Times New Roman" w:hAnsi="Times New Roman" w:eastAsia="仿宋_GB2312"/>
                <w:b/>
                <w:snapToGrid w:val="0"/>
                <w:color w:val="000000"/>
                <w:kern w:val="0"/>
                <w:sz w:val="24"/>
                <w:szCs w:val="24"/>
              </w:rPr>
            </w:pPr>
            <w:r>
              <w:rPr>
                <w:rFonts w:hint="eastAsia" w:ascii="Times New Roman" w:hAnsi="Times New Roman" w:eastAsia="仿宋_GB2312"/>
                <w:b/>
                <w:snapToGrid w:val="0"/>
                <w:color w:val="000000"/>
                <w:kern w:val="0"/>
                <w:sz w:val="24"/>
                <w:szCs w:val="24"/>
              </w:rPr>
              <w:t>3、源强及预测结果</w:t>
            </w:r>
            <w:r>
              <w:rPr>
                <w:rFonts w:ascii="Times New Roman" w:hAnsi="Times New Roman" w:eastAsia="仿宋_GB2312"/>
                <w:b/>
                <w:snapToGrid w:val="0"/>
                <w:color w:val="000000"/>
                <w:kern w:val="0"/>
                <w:sz w:val="24"/>
                <w:szCs w:val="24"/>
              </w:rPr>
              <w:t>：</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项目使用的实验仪器属于小型实验设备，功率较小，噪声较低，主要噪声污染源来自</w:t>
            </w:r>
            <w:r>
              <w:rPr>
                <w:rFonts w:ascii="Times New Roman" w:hAnsi="Times New Roman" w:eastAsia="仿宋_GB2312"/>
                <w:color w:val="000000"/>
                <w:sz w:val="24"/>
                <w:szCs w:val="24"/>
              </w:rPr>
              <w:t>风机</w:t>
            </w:r>
            <w:r>
              <w:rPr>
                <w:rFonts w:hint="eastAsia" w:ascii="Times New Roman" w:hAnsi="Times New Roman" w:eastAsia="仿宋_GB2312"/>
                <w:color w:val="000000"/>
                <w:sz w:val="24"/>
                <w:szCs w:val="24"/>
              </w:rPr>
              <w:t>和空调外机</w:t>
            </w:r>
            <w:r>
              <w:rPr>
                <w:rFonts w:ascii="Times New Roman" w:hAnsi="Times New Roman" w:eastAsia="仿宋_GB2312"/>
                <w:snapToGrid w:val="0"/>
                <w:color w:val="000000"/>
                <w:kern w:val="0"/>
                <w:sz w:val="24"/>
                <w:szCs w:val="24"/>
              </w:rPr>
              <w:t>，单台噪声值</w:t>
            </w:r>
            <w:r>
              <w:rPr>
                <w:rFonts w:hint="eastAsia" w:ascii="Times New Roman" w:hAnsi="Times New Roman" w:eastAsia="仿宋_GB2312"/>
                <w:snapToGrid w:val="0"/>
                <w:color w:val="000000"/>
                <w:kern w:val="0"/>
                <w:sz w:val="24"/>
                <w:szCs w:val="24"/>
              </w:rPr>
              <w:t>分别</w:t>
            </w:r>
            <w:r>
              <w:rPr>
                <w:rFonts w:ascii="Times New Roman" w:hAnsi="Times New Roman" w:eastAsia="仿宋_GB2312"/>
                <w:snapToGrid w:val="0"/>
                <w:color w:val="000000"/>
                <w:kern w:val="0"/>
                <w:sz w:val="24"/>
                <w:szCs w:val="24"/>
              </w:rPr>
              <w:t>约85</w:t>
            </w:r>
            <w:r>
              <w:rPr>
                <w:rFonts w:hint="eastAsia" w:ascii="Times New Roman" w:hAnsi="Times New Roman" w:eastAsia="仿宋_GB2312"/>
                <w:snapToGrid w:val="0"/>
                <w:color w:val="000000"/>
                <w:kern w:val="0"/>
                <w:sz w:val="24"/>
                <w:szCs w:val="24"/>
              </w:rPr>
              <w:t>和60dB(A)，风机1台，分布在实验楼西侧外墙，</w:t>
            </w:r>
            <w:r>
              <w:rPr>
                <w:rFonts w:ascii="Times New Roman" w:hAnsi="Times New Roman" w:eastAsia="仿宋_GB2312"/>
                <w:snapToGrid w:val="0"/>
                <w:color w:val="000000"/>
                <w:kern w:val="0"/>
                <w:sz w:val="24"/>
                <w:szCs w:val="24"/>
              </w:rPr>
              <w:t>选用低噪声设备</w:t>
            </w:r>
            <w:r>
              <w:rPr>
                <w:rFonts w:hint="eastAsia" w:ascii="Times New Roman" w:hAnsi="Times New Roman" w:eastAsia="仿宋_GB2312"/>
                <w:snapToGrid w:val="0"/>
                <w:color w:val="000000"/>
                <w:kern w:val="0"/>
                <w:sz w:val="24"/>
                <w:szCs w:val="24"/>
              </w:rPr>
              <w:t>、设备隔声和</w:t>
            </w:r>
            <w:r>
              <w:rPr>
                <w:rFonts w:ascii="Times New Roman" w:hAnsi="Times New Roman" w:eastAsia="仿宋_GB2312"/>
                <w:snapToGrid w:val="0"/>
                <w:color w:val="000000"/>
                <w:kern w:val="0"/>
                <w:sz w:val="24"/>
                <w:szCs w:val="24"/>
              </w:rPr>
              <w:t>基础减振等措施</w:t>
            </w:r>
            <w:r>
              <w:rPr>
                <w:rFonts w:hint="eastAsia" w:ascii="Times New Roman" w:hAnsi="Times New Roman" w:eastAsia="仿宋_GB2312"/>
                <w:snapToGrid w:val="0"/>
                <w:color w:val="000000"/>
                <w:kern w:val="0"/>
                <w:sz w:val="24"/>
                <w:szCs w:val="24"/>
              </w:rPr>
              <w:t>；空调外机1</w:t>
            </w:r>
            <w:r>
              <w:rPr>
                <w:rFonts w:ascii="Times New Roman" w:hAnsi="Times New Roman" w:eastAsia="仿宋_GB2312"/>
                <w:snapToGrid w:val="0"/>
                <w:color w:val="000000"/>
                <w:kern w:val="0"/>
                <w:sz w:val="24"/>
                <w:szCs w:val="24"/>
              </w:rPr>
              <w:t>08</w:t>
            </w:r>
            <w:r>
              <w:rPr>
                <w:rFonts w:hint="eastAsia" w:ascii="Times New Roman" w:hAnsi="Times New Roman" w:eastAsia="仿宋_GB2312"/>
                <w:snapToGrid w:val="0"/>
                <w:color w:val="000000"/>
                <w:kern w:val="0"/>
                <w:sz w:val="24"/>
                <w:szCs w:val="24"/>
              </w:rPr>
              <w:t>台，分布在每个房间外墙，</w:t>
            </w:r>
            <w:r>
              <w:rPr>
                <w:rFonts w:ascii="Times New Roman" w:hAnsi="Times New Roman" w:eastAsia="仿宋_GB2312"/>
                <w:snapToGrid w:val="0"/>
                <w:color w:val="000000"/>
                <w:kern w:val="0"/>
                <w:sz w:val="24"/>
                <w:szCs w:val="24"/>
              </w:rPr>
              <w:t>项目选用低噪声设备</w:t>
            </w:r>
            <w:r>
              <w:rPr>
                <w:rFonts w:hint="eastAsia" w:ascii="Times New Roman" w:hAnsi="Times New Roman" w:eastAsia="仿宋_GB2312"/>
                <w:snapToGrid w:val="0"/>
                <w:color w:val="000000"/>
                <w:kern w:val="0"/>
                <w:sz w:val="24"/>
                <w:szCs w:val="24"/>
              </w:rPr>
              <w:t>、</w:t>
            </w:r>
            <w:r>
              <w:rPr>
                <w:rFonts w:ascii="Times New Roman" w:hAnsi="Times New Roman" w:eastAsia="仿宋_GB2312"/>
                <w:snapToGrid w:val="0"/>
                <w:color w:val="000000"/>
                <w:kern w:val="0"/>
                <w:sz w:val="24"/>
                <w:szCs w:val="24"/>
              </w:rPr>
              <w:t>基础减振等措施，降噪量达</w:t>
            </w:r>
            <w:r>
              <w:rPr>
                <w:rFonts w:hint="eastAsia" w:ascii="Times New Roman" w:hAnsi="Times New Roman" w:eastAsia="仿宋_GB2312"/>
                <w:snapToGrid w:val="0"/>
                <w:color w:val="000000"/>
                <w:kern w:val="0"/>
                <w:sz w:val="24"/>
                <w:szCs w:val="24"/>
              </w:rPr>
              <w:t>2</w:t>
            </w:r>
            <w:r>
              <w:rPr>
                <w:rFonts w:ascii="Times New Roman" w:hAnsi="Times New Roman" w:eastAsia="仿宋_GB2312"/>
                <w:snapToGrid w:val="0"/>
                <w:color w:val="000000"/>
                <w:kern w:val="0"/>
                <w:sz w:val="24"/>
                <w:szCs w:val="24"/>
              </w:rPr>
              <w:t>0</w:t>
            </w:r>
            <w:r>
              <w:rPr>
                <w:rFonts w:hint="eastAsia" w:ascii="Times New Roman" w:hAnsi="Times New Roman" w:eastAsia="仿宋_GB2312"/>
                <w:snapToGrid w:val="0"/>
                <w:color w:val="000000"/>
                <w:kern w:val="0"/>
                <w:sz w:val="24"/>
                <w:szCs w:val="24"/>
              </w:rPr>
              <w:t>-</w:t>
            </w:r>
            <w:r>
              <w:rPr>
                <w:rFonts w:ascii="Times New Roman" w:hAnsi="Times New Roman" w:eastAsia="仿宋_GB2312"/>
                <w:snapToGrid w:val="0"/>
                <w:color w:val="000000"/>
                <w:kern w:val="0"/>
                <w:sz w:val="24"/>
                <w:szCs w:val="24"/>
              </w:rPr>
              <w:t>25dB(A)</w:t>
            </w:r>
            <w:r>
              <w:rPr>
                <w:rFonts w:hint="eastAsia" w:ascii="Times New Roman" w:hAnsi="Times New Roman" w:eastAsia="仿宋_GB2312"/>
                <w:snapToGrid w:val="0"/>
                <w:color w:val="000000"/>
                <w:kern w:val="0"/>
                <w:sz w:val="24"/>
                <w:szCs w:val="24"/>
              </w:rPr>
              <w:t>，</w:t>
            </w:r>
            <w:r>
              <w:rPr>
                <w:rFonts w:hint="eastAsia" w:ascii="Times New Roman" w:hAnsi="Times New Roman" w:eastAsia="仿宋_GB2312"/>
                <w:color w:val="000000"/>
                <w:sz w:val="24"/>
                <w:szCs w:val="24"/>
              </w:rPr>
              <w:t>噪声源强见下表</w:t>
            </w:r>
            <w:r>
              <w:rPr>
                <w:rFonts w:ascii="Times New Roman" w:hAnsi="Times New Roman" w:eastAsia="仿宋_GB2312"/>
                <w:color w:val="000000"/>
                <w:sz w:val="24"/>
                <w:szCs w:val="24"/>
              </w:rPr>
              <w:t>7-18</w:t>
            </w:r>
            <w:r>
              <w:rPr>
                <w:rFonts w:hint="eastAsia" w:ascii="Times New Roman" w:hAnsi="Times New Roman" w:eastAsia="仿宋_GB2312"/>
                <w:snapToGrid w:val="0"/>
                <w:color w:val="000000"/>
                <w:kern w:val="0"/>
                <w:sz w:val="24"/>
                <w:szCs w:val="24"/>
              </w:rPr>
              <w:t>。</w:t>
            </w: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表7-18 噪声</w:t>
            </w:r>
            <w:r>
              <w:rPr>
                <w:rFonts w:hint="eastAsia" w:ascii="Times New Roman" w:hAnsi="Times New Roman" w:eastAsia="仿宋_GB2312"/>
                <w:b/>
                <w:color w:val="000000"/>
                <w:sz w:val="24"/>
                <w:szCs w:val="24"/>
              </w:rPr>
              <w:t>源强</w:t>
            </w:r>
            <w:r>
              <w:rPr>
                <w:rFonts w:ascii="Times New Roman" w:hAnsi="Times New Roman" w:eastAsia="仿宋_GB2312"/>
                <w:b/>
                <w:color w:val="000000"/>
                <w:sz w:val="24"/>
                <w:szCs w:val="24"/>
              </w:rPr>
              <w:t>一览表（单位：</w:t>
            </w:r>
            <w:r>
              <w:rPr>
                <w:rFonts w:ascii="Times New Roman" w:hAnsi="Times New Roman" w:eastAsia="仿宋_GB2312"/>
                <w:b/>
                <w:iCs/>
                <w:color w:val="000000"/>
                <w:spacing w:val="-1"/>
                <w:sz w:val="24"/>
                <w:szCs w:val="24"/>
              </w:rPr>
              <w:t>dB(A)</w:t>
            </w:r>
            <w:r>
              <w:rPr>
                <w:rFonts w:ascii="Times New Roman" w:hAnsi="Times New Roman" w:eastAsia="仿宋_GB2312"/>
                <w:b/>
                <w:color w:val="000000"/>
                <w:sz w:val="24"/>
                <w:szCs w:val="24"/>
              </w:rPr>
              <w:t>）</w:t>
            </w:r>
          </w:p>
          <w:tbl>
            <w:tblPr>
              <w:tblStyle w:val="38"/>
              <w:tblW w:w="49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390"/>
              <w:gridCol w:w="1499"/>
              <w:gridCol w:w="1367"/>
              <w:gridCol w:w="2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838"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噪声源</w:t>
                  </w:r>
                </w:p>
              </w:tc>
              <w:tc>
                <w:tcPr>
                  <w:tcW w:w="852"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单台噪声值</w:t>
                  </w:r>
                </w:p>
              </w:tc>
              <w:tc>
                <w:tcPr>
                  <w:tcW w:w="919"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ascii="Times New Roman" w:hAnsi="Times New Roman" w:eastAsia="仿宋_GB2312"/>
                      <w:b/>
                      <w:color w:val="000000"/>
                      <w:kern w:val="0"/>
                      <w:szCs w:val="21"/>
                    </w:rPr>
                    <w:t>数量（台/套）</w:t>
                  </w:r>
                </w:p>
              </w:tc>
              <w:tc>
                <w:tcPr>
                  <w:tcW w:w="838"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减噪效果</w:t>
                  </w:r>
                </w:p>
              </w:tc>
              <w:tc>
                <w:tcPr>
                  <w:tcW w:w="1553"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分布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8" w:type="pct"/>
                  <w:shd w:val="clear" w:color="auto" w:fill="auto"/>
                  <w:vAlign w:val="center"/>
                </w:tcPr>
                <w:p>
                  <w:pPr>
                    <w:pStyle w:val="253"/>
                    <w:rPr>
                      <w:rFonts w:eastAsia="仿宋_GB2312"/>
                      <w:color w:val="000000"/>
                    </w:rPr>
                  </w:pPr>
                  <w:r>
                    <w:rPr>
                      <w:rFonts w:eastAsia="仿宋_GB2312"/>
                      <w:snapToGrid w:val="0"/>
                      <w:color w:val="000000"/>
                    </w:rPr>
                    <w:t>风机</w:t>
                  </w:r>
                </w:p>
              </w:tc>
              <w:tc>
                <w:tcPr>
                  <w:tcW w:w="852" w:type="pct"/>
                  <w:shd w:val="clear" w:color="auto" w:fill="auto"/>
                  <w:vAlign w:val="center"/>
                </w:tcPr>
                <w:p>
                  <w:pPr>
                    <w:pStyle w:val="253"/>
                    <w:rPr>
                      <w:rFonts w:eastAsia="仿宋_GB2312"/>
                      <w:color w:val="000000"/>
                    </w:rPr>
                  </w:pPr>
                  <w:r>
                    <w:rPr>
                      <w:rFonts w:eastAsia="仿宋_GB2312"/>
                      <w:color w:val="000000"/>
                      <w:kern w:val="2"/>
                    </w:rPr>
                    <w:t>85</w:t>
                  </w:r>
                </w:p>
              </w:tc>
              <w:tc>
                <w:tcPr>
                  <w:tcW w:w="919" w:type="pct"/>
                  <w:shd w:val="clear" w:color="auto" w:fill="auto"/>
                  <w:vAlign w:val="center"/>
                </w:tcPr>
                <w:p>
                  <w:pPr>
                    <w:pStyle w:val="253"/>
                    <w:rPr>
                      <w:rFonts w:eastAsia="仿宋_GB2312"/>
                      <w:color w:val="000000"/>
                    </w:rPr>
                  </w:pPr>
                  <w:r>
                    <w:rPr>
                      <w:rFonts w:eastAsia="仿宋_GB2312"/>
                      <w:color w:val="000000"/>
                    </w:rPr>
                    <w:t>1</w:t>
                  </w:r>
                </w:p>
              </w:tc>
              <w:tc>
                <w:tcPr>
                  <w:tcW w:w="838" w:type="pct"/>
                  <w:shd w:val="clear" w:color="auto" w:fill="auto"/>
                  <w:vAlign w:val="center"/>
                </w:tcPr>
                <w:p>
                  <w:pPr>
                    <w:pStyle w:val="253"/>
                    <w:rPr>
                      <w:rFonts w:eastAsia="仿宋_GB2312"/>
                      <w:color w:val="000000"/>
                    </w:rPr>
                  </w:pPr>
                  <w:r>
                    <w:rPr>
                      <w:rFonts w:eastAsia="仿宋_GB2312"/>
                      <w:color w:val="000000"/>
                    </w:rPr>
                    <w:t>25</w:t>
                  </w:r>
                </w:p>
              </w:tc>
              <w:tc>
                <w:tcPr>
                  <w:tcW w:w="1553" w:type="pct"/>
                  <w:shd w:val="clear" w:color="auto" w:fill="auto"/>
                  <w:vAlign w:val="center"/>
                </w:tcPr>
                <w:p>
                  <w:pPr>
                    <w:pStyle w:val="253"/>
                    <w:rPr>
                      <w:rFonts w:eastAsia="仿宋_GB2312"/>
                      <w:color w:val="000000"/>
                    </w:rPr>
                  </w:pPr>
                  <w:r>
                    <w:rPr>
                      <w:rFonts w:hint="eastAsia" w:eastAsia="仿宋_GB2312"/>
                      <w:color w:val="000000"/>
                    </w:rPr>
                    <w:t>实验楼1、2层西侧外墙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838" w:type="pct"/>
                  <w:shd w:val="clear" w:color="auto" w:fill="auto"/>
                  <w:vAlign w:val="center"/>
                </w:tcPr>
                <w:p>
                  <w:pPr>
                    <w:pStyle w:val="253"/>
                    <w:rPr>
                      <w:rFonts w:eastAsia="仿宋_GB2312"/>
                      <w:snapToGrid w:val="0"/>
                      <w:color w:val="000000"/>
                    </w:rPr>
                  </w:pPr>
                  <w:r>
                    <w:rPr>
                      <w:rFonts w:hint="eastAsia" w:eastAsia="仿宋_GB2312"/>
                      <w:snapToGrid w:val="0"/>
                      <w:color w:val="000000"/>
                    </w:rPr>
                    <w:t>空调外机</w:t>
                  </w:r>
                </w:p>
              </w:tc>
              <w:tc>
                <w:tcPr>
                  <w:tcW w:w="852" w:type="pct"/>
                  <w:shd w:val="clear" w:color="auto" w:fill="auto"/>
                  <w:vAlign w:val="center"/>
                </w:tcPr>
                <w:p>
                  <w:pPr>
                    <w:pStyle w:val="253"/>
                    <w:rPr>
                      <w:rFonts w:eastAsia="仿宋_GB2312"/>
                      <w:color w:val="000000"/>
                      <w:kern w:val="2"/>
                    </w:rPr>
                  </w:pPr>
                  <w:r>
                    <w:rPr>
                      <w:rFonts w:hint="eastAsia" w:eastAsia="仿宋_GB2312"/>
                      <w:color w:val="000000"/>
                      <w:kern w:val="2"/>
                    </w:rPr>
                    <w:t>6</w:t>
                  </w:r>
                  <w:r>
                    <w:rPr>
                      <w:rFonts w:eastAsia="仿宋_GB2312"/>
                      <w:color w:val="000000"/>
                      <w:kern w:val="2"/>
                    </w:rPr>
                    <w:t>0</w:t>
                  </w:r>
                </w:p>
              </w:tc>
              <w:tc>
                <w:tcPr>
                  <w:tcW w:w="919"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08</w:t>
                  </w:r>
                </w:p>
              </w:tc>
              <w:tc>
                <w:tcPr>
                  <w:tcW w:w="838"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0</w:t>
                  </w:r>
                </w:p>
              </w:tc>
              <w:tc>
                <w:tcPr>
                  <w:tcW w:w="1553" w:type="pct"/>
                  <w:shd w:val="clear" w:color="auto" w:fill="auto"/>
                  <w:vAlign w:val="center"/>
                </w:tcPr>
                <w:p>
                  <w:pPr>
                    <w:pStyle w:val="253"/>
                    <w:rPr>
                      <w:rFonts w:eastAsia="仿宋_GB2312"/>
                      <w:color w:val="000000"/>
                    </w:rPr>
                  </w:pPr>
                  <w:r>
                    <w:rPr>
                      <w:rFonts w:hint="eastAsia" w:eastAsia="仿宋_GB2312"/>
                      <w:color w:val="000000"/>
                    </w:rPr>
                    <w:t>每个房间外墙</w:t>
                  </w:r>
                </w:p>
              </w:tc>
            </w:tr>
          </w:tbl>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考虑噪声距离衰减、合理布局等措施，预测</w:t>
            </w:r>
            <w:r>
              <w:rPr>
                <w:rFonts w:hint="eastAsia" w:ascii="Times New Roman" w:hAnsi="Times New Roman" w:eastAsia="仿宋_GB2312"/>
                <w:color w:val="000000"/>
                <w:sz w:val="24"/>
                <w:szCs w:val="24"/>
              </w:rPr>
              <w:t>敏感点位分别为厂界四周1m（Z</w:t>
            </w:r>
            <w:r>
              <w:rPr>
                <w:rFonts w:ascii="Times New Roman" w:hAnsi="Times New Roman" w:eastAsia="仿宋_GB2312"/>
                <w:color w:val="000000"/>
                <w:sz w:val="24"/>
                <w:szCs w:val="24"/>
              </w:rPr>
              <w:t>1</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Z2</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Z3</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Z4</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N南京市医科大学宿舍（Z</w:t>
            </w:r>
            <w:r>
              <w:rPr>
                <w:rFonts w:ascii="Times New Roman" w:hAnsi="Times New Roman" w:eastAsia="仿宋_GB2312"/>
                <w:color w:val="000000"/>
                <w:sz w:val="24"/>
                <w:szCs w:val="24"/>
              </w:rPr>
              <w:t>5</w:t>
            </w:r>
            <w:r>
              <w:rPr>
                <w:rFonts w:hint="eastAsia" w:ascii="Times New Roman" w:hAnsi="Times New Roman" w:eastAsia="仿宋_GB2312"/>
                <w:color w:val="000000"/>
                <w:sz w:val="24"/>
                <w:szCs w:val="24"/>
              </w:rPr>
              <w:t>，上、中、下各一点），</w:t>
            </w:r>
            <w:r>
              <w:rPr>
                <w:rFonts w:ascii="Times New Roman" w:hAnsi="Times New Roman" w:eastAsia="仿宋_GB2312"/>
                <w:color w:val="000000"/>
                <w:sz w:val="24"/>
                <w:szCs w:val="24"/>
              </w:rPr>
              <w:t>E</w:t>
            </w:r>
            <w:r>
              <w:rPr>
                <w:rFonts w:hint="eastAsia" w:ascii="Times New Roman" w:hAnsi="Times New Roman" w:eastAsia="仿宋_GB2312"/>
                <w:color w:val="000000"/>
                <w:sz w:val="24"/>
                <w:szCs w:val="24"/>
              </w:rPr>
              <w:t>审计学院教工楼3栋（Z</w:t>
            </w:r>
            <w:r>
              <w:rPr>
                <w:rFonts w:ascii="Times New Roman" w:hAnsi="Times New Roman" w:eastAsia="仿宋_GB2312"/>
                <w:color w:val="000000"/>
                <w:sz w:val="24"/>
                <w:szCs w:val="24"/>
              </w:rPr>
              <w:t>6</w:t>
            </w:r>
            <w:r>
              <w:rPr>
                <w:rFonts w:hint="eastAsia" w:ascii="Times New Roman" w:hAnsi="Times New Roman" w:eastAsia="仿宋_GB2312"/>
                <w:color w:val="000000"/>
                <w:sz w:val="24"/>
                <w:szCs w:val="24"/>
              </w:rPr>
              <w:t>，上、中、下各一点），S南京审计学院教学楼（Z</w:t>
            </w:r>
            <w:r>
              <w:rPr>
                <w:rFonts w:ascii="Times New Roman" w:hAnsi="Times New Roman" w:eastAsia="仿宋_GB2312"/>
                <w:color w:val="000000"/>
                <w:sz w:val="24"/>
                <w:szCs w:val="24"/>
              </w:rPr>
              <w:t>7</w:t>
            </w:r>
            <w:r>
              <w:rPr>
                <w:rFonts w:hint="eastAsia" w:ascii="Times New Roman" w:hAnsi="Times New Roman" w:eastAsia="仿宋_GB2312"/>
                <w:color w:val="000000"/>
                <w:sz w:val="24"/>
                <w:szCs w:val="24"/>
              </w:rPr>
              <w:t>，上、中、下各一点），N</w:t>
            </w:r>
            <w:r>
              <w:rPr>
                <w:rFonts w:ascii="Times New Roman" w:hAnsi="Times New Roman" w:eastAsia="仿宋_GB2312"/>
                <w:color w:val="000000"/>
                <w:sz w:val="24"/>
                <w:szCs w:val="24"/>
              </w:rPr>
              <w:t>W</w:t>
            </w:r>
            <w:r>
              <w:rPr>
                <w:rFonts w:hint="eastAsia" w:ascii="Times New Roman" w:hAnsi="Times New Roman" w:eastAsia="仿宋_GB2312"/>
                <w:color w:val="000000"/>
                <w:sz w:val="24"/>
                <w:szCs w:val="24"/>
              </w:rPr>
              <w:t>凤凰新寓1栋（Z</w:t>
            </w:r>
            <w:r>
              <w:rPr>
                <w:rFonts w:ascii="Times New Roman" w:hAnsi="Times New Roman" w:eastAsia="仿宋_GB2312"/>
                <w:color w:val="000000"/>
                <w:sz w:val="24"/>
                <w:szCs w:val="24"/>
              </w:rPr>
              <w:t>7</w:t>
            </w:r>
            <w:r>
              <w:rPr>
                <w:rFonts w:hint="eastAsia" w:ascii="Times New Roman" w:hAnsi="Times New Roman" w:eastAsia="仿宋_GB2312"/>
                <w:color w:val="000000"/>
                <w:sz w:val="24"/>
                <w:szCs w:val="24"/>
              </w:rPr>
              <w:t>，上、中、下各一点），预测敏感点位见附图5，由于该实验室夜间不运行，故只预测昼间噪声影响。由于本项目为对现有实验室的整体改建项目，现状监测时实验室已空置，因此厂界噪声按照导则要求直接以贡献值进行评价。采用No</w:t>
            </w:r>
            <w:r>
              <w:rPr>
                <w:rFonts w:ascii="Times New Roman" w:hAnsi="Times New Roman" w:eastAsia="仿宋_GB2312"/>
                <w:color w:val="000000"/>
                <w:sz w:val="24"/>
                <w:szCs w:val="24"/>
              </w:rPr>
              <w:t>iseSystem</w:t>
            </w:r>
            <w:r>
              <w:rPr>
                <w:rFonts w:hint="eastAsia" w:ascii="Times New Roman" w:hAnsi="Times New Roman" w:eastAsia="仿宋_GB2312"/>
                <w:color w:val="000000"/>
                <w:sz w:val="24"/>
                <w:szCs w:val="24"/>
              </w:rPr>
              <w:t>软件进行预测，</w:t>
            </w:r>
            <w:r>
              <w:rPr>
                <w:rFonts w:ascii="Times New Roman" w:hAnsi="Times New Roman" w:eastAsia="仿宋_GB2312"/>
                <w:color w:val="000000"/>
                <w:sz w:val="24"/>
                <w:szCs w:val="24"/>
              </w:rPr>
              <w:t>预测结果见表7-19。</w:t>
            </w:r>
          </w:p>
          <w:p>
            <w:pPr>
              <w:adjustRightInd w:val="0"/>
              <w:snapToGrid w:val="0"/>
              <w:spacing w:line="480" w:lineRule="exact"/>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表7-19 噪声预测结果一览表（单位：</w:t>
            </w:r>
            <w:r>
              <w:rPr>
                <w:rFonts w:ascii="Times New Roman" w:hAnsi="Times New Roman" w:eastAsia="仿宋_GB2312"/>
                <w:b/>
                <w:iCs/>
                <w:color w:val="000000"/>
                <w:spacing w:val="-1"/>
                <w:sz w:val="24"/>
                <w:szCs w:val="24"/>
              </w:rPr>
              <w:t>dB(A)</w:t>
            </w:r>
            <w:r>
              <w:rPr>
                <w:rFonts w:ascii="Times New Roman" w:hAnsi="Times New Roman" w:eastAsia="仿宋_GB2312"/>
                <w:b/>
                <w:color w:val="000000"/>
                <w:sz w:val="24"/>
                <w:szCs w:val="24"/>
              </w:rPr>
              <w:t>）</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189"/>
              <w:gridCol w:w="1167"/>
              <w:gridCol w:w="1312"/>
              <w:gridCol w:w="1019"/>
              <w:gridCol w:w="2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05"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点位</w:t>
                  </w:r>
                </w:p>
              </w:tc>
              <w:tc>
                <w:tcPr>
                  <w:tcW w:w="715"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背景值（昼间）</w:t>
                  </w:r>
                </w:p>
              </w:tc>
              <w:tc>
                <w:tcPr>
                  <w:tcW w:w="702"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贡献值（昼间）</w:t>
                  </w:r>
                </w:p>
              </w:tc>
              <w:tc>
                <w:tcPr>
                  <w:tcW w:w="789"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叠加影响值</w:t>
                  </w:r>
                </w:p>
              </w:tc>
              <w:tc>
                <w:tcPr>
                  <w:tcW w:w="613" w:type="pct"/>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达标情况</w:t>
                  </w:r>
                </w:p>
              </w:tc>
              <w:tc>
                <w:tcPr>
                  <w:tcW w:w="1476" w:type="pct"/>
                  <w:shd w:val="clear" w:color="auto" w:fill="auto"/>
                  <w:vAlign w:val="center"/>
                </w:tcPr>
                <w:p>
                  <w:pPr>
                    <w:widowControl/>
                    <w:adjustRightInd w:val="0"/>
                    <w:snapToGrid w:val="0"/>
                    <w:jc w:val="center"/>
                    <w:rPr>
                      <w:rFonts w:ascii="Times New Roman" w:hAnsi="Times New Roman" w:eastAsia="仿宋_GB2312"/>
                      <w:b/>
                      <w:color w:val="000000"/>
                      <w:kern w:val="0"/>
                      <w:szCs w:val="21"/>
                    </w:rPr>
                  </w:pPr>
                  <w:r>
                    <w:rPr>
                      <w:rFonts w:hint="eastAsia" w:ascii="Times New Roman" w:hAnsi="Times New Roman" w:eastAsia="仿宋_GB2312"/>
                      <w:b/>
                      <w:color w:val="000000"/>
                      <w:kern w:val="0"/>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Z1</w:t>
                  </w:r>
                </w:p>
              </w:tc>
              <w:tc>
                <w:tcPr>
                  <w:tcW w:w="715" w:type="pct"/>
                  <w:shd w:val="clear" w:color="auto" w:fill="auto"/>
                  <w:vAlign w:val="center"/>
                </w:tcPr>
                <w:p>
                  <w:pPr>
                    <w:pStyle w:val="253"/>
                    <w:rPr>
                      <w:rFonts w:eastAsia="仿宋_GB2312"/>
                      <w:color w:val="000000"/>
                    </w:rPr>
                  </w:pPr>
                  <w:r>
                    <w:rPr>
                      <w:rFonts w:hint="eastAsia" w:eastAsia="仿宋_GB2312"/>
                      <w:color w:val="000000"/>
                    </w:rPr>
                    <w:t>/</w:t>
                  </w:r>
                </w:p>
              </w:tc>
              <w:tc>
                <w:tcPr>
                  <w:tcW w:w="702"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4.00</w:t>
                  </w:r>
                </w:p>
              </w:tc>
              <w:tc>
                <w:tcPr>
                  <w:tcW w:w="789"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4.00</w:t>
                  </w:r>
                </w:p>
              </w:tc>
              <w:tc>
                <w:tcPr>
                  <w:tcW w:w="613" w:type="pct"/>
                  <w:vAlign w:val="center"/>
                </w:tcPr>
                <w:p>
                  <w:pPr>
                    <w:pStyle w:val="253"/>
                    <w:rPr>
                      <w:rFonts w:eastAsia="仿宋_GB2312"/>
                      <w:bCs/>
                    </w:rPr>
                  </w:pPr>
                  <w:r>
                    <w:rPr>
                      <w:rFonts w:hint="eastAsia" w:eastAsia="仿宋_GB2312"/>
                      <w:bCs/>
                    </w:rPr>
                    <w:t>达标</w:t>
                  </w:r>
                </w:p>
              </w:tc>
              <w:tc>
                <w:tcPr>
                  <w:tcW w:w="1476" w:type="pct"/>
                  <w:shd w:val="clear" w:color="auto" w:fill="auto"/>
                  <w:vAlign w:val="center"/>
                </w:tcPr>
                <w:p>
                  <w:pPr>
                    <w:pStyle w:val="253"/>
                    <w:rPr>
                      <w:rFonts w:eastAsia="仿宋_GB2312"/>
                      <w:color w:val="000000"/>
                    </w:rPr>
                  </w:pPr>
                  <w:r>
                    <w:rPr>
                      <w:rFonts w:hint="eastAsia" w:eastAsia="仿宋_GB2312"/>
                    </w:rPr>
                    <w:t>《声环境质量标准》（GB3096-2008）中4a类标准</w:t>
                  </w:r>
                  <w:r>
                    <w:rPr>
                      <w:rFonts w:hint="eastAsia" w:eastAsia="仿宋_GB2312"/>
                      <w:bCs/>
                    </w:rPr>
                    <w:t>，昼间7</w:t>
                  </w:r>
                  <w:r>
                    <w:rPr>
                      <w:rFonts w:eastAsia="仿宋_GB2312"/>
                      <w:bCs/>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Z2</w:t>
                  </w:r>
                </w:p>
              </w:tc>
              <w:tc>
                <w:tcPr>
                  <w:tcW w:w="715" w:type="pct"/>
                  <w:shd w:val="clear" w:color="auto" w:fill="auto"/>
                  <w:vAlign w:val="center"/>
                </w:tcPr>
                <w:p>
                  <w:pPr>
                    <w:pStyle w:val="253"/>
                    <w:rPr>
                      <w:rFonts w:eastAsia="仿宋_GB2312"/>
                      <w:color w:val="000000"/>
                    </w:rPr>
                  </w:pPr>
                  <w:r>
                    <w:rPr>
                      <w:rFonts w:hint="eastAsia" w:eastAsia="仿宋_GB2312"/>
                      <w:color w:val="000000"/>
                    </w:rPr>
                    <w:t>/</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0.17</w:t>
                  </w:r>
                </w:p>
              </w:tc>
              <w:tc>
                <w:tcPr>
                  <w:tcW w:w="789"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0.17</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restart"/>
                  <w:shd w:val="clear" w:color="auto" w:fill="auto"/>
                  <w:vAlign w:val="center"/>
                </w:tcPr>
                <w:p>
                  <w:pPr>
                    <w:pStyle w:val="253"/>
                    <w:rPr>
                      <w:rFonts w:eastAsia="仿宋_GB2312"/>
                      <w:color w:val="000000"/>
                    </w:rPr>
                  </w:pPr>
                  <w:r>
                    <w:rPr>
                      <w:rFonts w:eastAsia="仿宋_GB2312"/>
                      <w:bCs/>
                    </w:rPr>
                    <w:t>《声环境质量标准》（GB3096-2008）中2类标准</w:t>
                  </w:r>
                  <w:r>
                    <w:rPr>
                      <w:rFonts w:hint="eastAsia" w:eastAsia="仿宋_GB2312"/>
                      <w:bCs/>
                    </w:rPr>
                    <w:t>，昼间6</w:t>
                  </w:r>
                  <w:r>
                    <w:rPr>
                      <w:rFonts w:eastAsia="仿宋_GB2312"/>
                      <w:bCs/>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Z3</w:t>
                  </w:r>
                </w:p>
              </w:tc>
              <w:tc>
                <w:tcPr>
                  <w:tcW w:w="715" w:type="pct"/>
                  <w:shd w:val="clear" w:color="auto" w:fill="auto"/>
                  <w:vAlign w:val="center"/>
                </w:tcPr>
                <w:p>
                  <w:pPr>
                    <w:pStyle w:val="253"/>
                    <w:rPr>
                      <w:rFonts w:eastAsia="仿宋_GB2312"/>
                      <w:color w:val="000000"/>
                    </w:rPr>
                  </w:pPr>
                  <w:r>
                    <w:rPr>
                      <w:rFonts w:hint="eastAsia" w:eastAsia="仿宋_GB2312"/>
                      <w:color w:val="000000"/>
                    </w:rPr>
                    <w:t>/</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4.06</w:t>
                  </w:r>
                </w:p>
              </w:tc>
              <w:tc>
                <w:tcPr>
                  <w:tcW w:w="789"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4.06</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Z4</w:t>
                  </w:r>
                </w:p>
              </w:tc>
              <w:tc>
                <w:tcPr>
                  <w:tcW w:w="715" w:type="pct"/>
                  <w:shd w:val="clear" w:color="auto" w:fill="auto"/>
                  <w:vAlign w:val="center"/>
                </w:tcPr>
                <w:p>
                  <w:pPr>
                    <w:pStyle w:val="253"/>
                    <w:rPr>
                      <w:rFonts w:eastAsia="仿宋_GB2312"/>
                      <w:color w:val="000000"/>
                    </w:rPr>
                  </w:pPr>
                  <w:r>
                    <w:rPr>
                      <w:rFonts w:hint="eastAsia" w:eastAsia="仿宋_GB2312"/>
                      <w:color w:val="000000"/>
                    </w:rPr>
                    <w:t>/</w:t>
                  </w:r>
                </w:p>
              </w:tc>
              <w:tc>
                <w:tcPr>
                  <w:tcW w:w="702" w:type="pct"/>
                  <w:shd w:val="clear" w:color="auto" w:fill="auto"/>
                  <w:vAlign w:val="center"/>
                </w:tcPr>
                <w:p>
                  <w:pPr>
                    <w:pStyle w:val="253"/>
                    <w:rPr>
                      <w:rFonts w:eastAsia="仿宋_GB2312"/>
                      <w:color w:val="000000"/>
                    </w:rPr>
                  </w:pPr>
                  <w:r>
                    <w:rPr>
                      <w:rFonts w:hint="eastAsia" w:eastAsia="仿宋_GB2312"/>
                      <w:color w:val="000000"/>
                    </w:rPr>
                    <w:t>3</w:t>
                  </w:r>
                  <w:r>
                    <w:rPr>
                      <w:rFonts w:eastAsia="仿宋_GB2312"/>
                      <w:color w:val="000000"/>
                    </w:rPr>
                    <w:t>3.08</w:t>
                  </w:r>
                </w:p>
              </w:tc>
              <w:tc>
                <w:tcPr>
                  <w:tcW w:w="789" w:type="pct"/>
                  <w:shd w:val="clear" w:color="auto" w:fill="auto"/>
                  <w:vAlign w:val="center"/>
                </w:tcPr>
                <w:p>
                  <w:pPr>
                    <w:pStyle w:val="253"/>
                    <w:rPr>
                      <w:rFonts w:eastAsia="仿宋_GB2312"/>
                      <w:color w:val="000000"/>
                    </w:rPr>
                  </w:pPr>
                  <w:r>
                    <w:rPr>
                      <w:rFonts w:hint="eastAsia" w:eastAsia="仿宋_GB2312"/>
                      <w:color w:val="000000"/>
                    </w:rPr>
                    <w:t>3</w:t>
                  </w:r>
                  <w:r>
                    <w:rPr>
                      <w:rFonts w:eastAsia="仿宋_GB2312"/>
                      <w:color w:val="000000"/>
                    </w:rPr>
                    <w:t>3.08</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Z5（</w:t>
                  </w:r>
                  <w:r>
                    <w:rPr>
                      <w:rFonts w:hint="eastAsia" w:ascii="Times New Roman" w:hAnsi="Times New Roman" w:eastAsia="仿宋_GB2312"/>
                      <w:szCs w:val="21"/>
                    </w:rPr>
                    <w:t>上</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51.90</w:t>
                  </w:r>
                </w:p>
              </w:tc>
              <w:tc>
                <w:tcPr>
                  <w:tcW w:w="702"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0.96</w:t>
                  </w:r>
                </w:p>
              </w:tc>
              <w:tc>
                <w:tcPr>
                  <w:tcW w:w="789"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1.90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restart"/>
                  <w:shd w:val="clear" w:color="auto" w:fill="auto"/>
                  <w:vAlign w:val="center"/>
                </w:tcPr>
                <w:p>
                  <w:pPr>
                    <w:pStyle w:val="253"/>
                    <w:rPr>
                      <w:rFonts w:eastAsia="仿宋_GB2312"/>
                      <w:color w:val="000000"/>
                    </w:rPr>
                  </w:pPr>
                  <w:r>
                    <w:rPr>
                      <w:rFonts w:eastAsia="仿宋_GB2312"/>
                      <w:bCs/>
                    </w:rPr>
                    <w:t>《声环境质量标准》（GB3096-2008）中4</w:t>
                  </w:r>
                  <w:r>
                    <w:rPr>
                      <w:rFonts w:hint="eastAsia" w:eastAsia="仿宋_GB2312"/>
                      <w:bCs/>
                    </w:rPr>
                    <w:t>a</w:t>
                  </w:r>
                  <w:r>
                    <w:rPr>
                      <w:rFonts w:eastAsia="仿宋_GB2312"/>
                      <w:bCs/>
                    </w:rPr>
                    <w:t>类标准</w:t>
                  </w:r>
                  <w:r>
                    <w:rPr>
                      <w:rFonts w:hint="eastAsia" w:eastAsia="仿宋_GB2312"/>
                      <w:bCs/>
                    </w:rPr>
                    <w:t>，昼间7</w:t>
                  </w:r>
                  <w:r>
                    <w:rPr>
                      <w:rFonts w:eastAsia="仿宋_GB2312"/>
                      <w:bCs/>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Z5（中）</w:t>
                  </w:r>
                </w:p>
              </w:tc>
              <w:tc>
                <w:tcPr>
                  <w:tcW w:w="715" w:type="pct"/>
                  <w:shd w:val="clear" w:color="auto" w:fill="auto"/>
                  <w:vAlign w:val="center"/>
                </w:tcPr>
                <w:p>
                  <w:pPr>
                    <w:pStyle w:val="253"/>
                    <w:rPr>
                      <w:rFonts w:eastAsia="仿宋_GB2312"/>
                      <w:color w:val="000000"/>
                    </w:rPr>
                  </w:pPr>
                  <w:r>
                    <w:rPr>
                      <w:rFonts w:eastAsia="仿宋_GB2312"/>
                      <w:color w:val="000000"/>
                    </w:rPr>
                    <w:t>50.70</w:t>
                  </w:r>
                </w:p>
              </w:tc>
              <w:tc>
                <w:tcPr>
                  <w:tcW w:w="702"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1.46</w:t>
                  </w:r>
                </w:p>
              </w:tc>
              <w:tc>
                <w:tcPr>
                  <w:tcW w:w="789"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0.70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Z5（</w:t>
                  </w:r>
                  <w:r>
                    <w:rPr>
                      <w:rFonts w:hint="eastAsia" w:ascii="Times New Roman" w:hAnsi="Times New Roman" w:eastAsia="仿宋_GB2312"/>
                      <w:szCs w:val="21"/>
                    </w:rPr>
                    <w:t>下</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52.90</w:t>
                  </w:r>
                </w:p>
              </w:tc>
              <w:tc>
                <w:tcPr>
                  <w:tcW w:w="702" w:type="pct"/>
                  <w:shd w:val="clear" w:color="auto" w:fill="auto"/>
                  <w:vAlign w:val="center"/>
                </w:tcPr>
                <w:p>
                  <w:pPr>
                    <w:pStyle w:val="253"/>
                    <w:rPr>
                      <w:rFonts w:eastAsia="仿宋_GB2312"/>
                      <w:color w:val="000000"/>
                    </w:rPr>
                  </w:pPr>
                  <w:r>
                    <w:rPr>
                      <w:rFonts w:hint="eastAsia" w:eastAsia="仿宋_GB2312"/>
                      <w:color w:val="000000"/>
                    </w:rPr>
                    <w:t>2</w:t>
                  </w:r>
                  <w:r>
                    <w:rPr>
                      <w:rFonts w:eastAsia="仿宋_GB2312"/>
                      <w:color w:val="000000"/>
                    </w:rPr>
                    <w:t>0.75</w:t>
                  </w:r>
                </w:p>
              </w:tc>
              <w:tc>
                <w:tcPr>
                  <w:tcW w:w="789"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2.90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Z6（</w:t>
                  </w:r>
                  <w:r>
                    <w:rPr>
                      <w:rFonts w:hint="eastAsia" w:ascii="Times New Roman" w:hAnsi="Times New Roman" w:eastAsia="仿宋_GB2312"/>
                      <w:szCs w:val="21"/>
                    </w:rPr>
                    <w:t>上</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63.50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6.24</w:t>
                  </w:r>
                </w:p>
              </w:tc>
              <w:tc>
                <w:tcPr>
                  <w:tcW w:w="789" w:type="pct"/>
                  <w:shd w:val="clear" w:color="auto" w:fill="auto"/>
                  <w:vAlign w:val="center"/>
                </w:tcPr>
                <w:p>
                  <w:pPr>
                    <w:pStyle w:val="253"/>
                    <w:rPr>
                      <w:rFonts w:eastAsia="仿宋_GB2312"/>
                      <w:color w:val="000000"/>
                    </w:rPr>
                  </w:pPr>
                  <w:r>
                    <w:rPr>
                      <w:rFonts w:hint="eastAsia" w:eastAsia="仿宋_GB2312"/>
                      <w:color w:val="000000"/>
                    </w:rPr>
                    <w:t>6</w:t>
                  </w:r>
                  <w:r>
                    <w:rPr>
                      <w:rFonts w:eastAsia="仿宋_GB2312"/>
                      <w:color w:val="000000"/>
                    </w:rPr>
                    <w:t>3.50</w:t>
                  </w:r>
                </w:p>
              </w:tc>
              <w:tc>
                <w:tcPr>
                  <w:tcW w:w="613" w:type="pct"/>
                  <w:vAlign w:val="center"/>
                </w:tcPr>
                <w:p>
                  <w:pPr>
                    <w:pStyle w:val="253"/>
                    <w:rPr>
                      <w:rFonts w:eastAsia="仿宋_GB2312"/>
                      <w:bCs/>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Z6（中）</w:t>
                  </w:r>
                </w:p>
              </w:tc>
              <w:tc>
                <w:tcPr>
                  <w:tcW w:w="715" w:type="pct"/>
                  <w:shd w:val="clear" w:color="auto" w:fill="auto"/>
                  <w:vAlign w:val="center"/>
                </w:tcPr>
                <w:p>
                  <w:pPr>
                    <w:pStyle w:val="253"/>
                    <w:rPr>
                      <w:rFonts w:eastAsia="仿宋_GB2312"/>
                      <w:color w:val="000000"/>
                    </w:rPr>
                  </w:pPr>
                  <w:r>
                    <w:rPr>
                      <w:rFonts w:eastAsia="仿宋_GB2312"/>
                      <w:color w:val="000000"/>
                    </w:rPr>
                    <w:t>61.70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6.82</w:t>
                  </w:r>
                </w:p>
              </w:tc>
              <w:tc>
                <w:tcPr>
                  <w:tcW w:w="789" w:type="pct"/>
                  <w:shd w:val="clear" w:color="auto" w:fill="auto"/>
                  <w:vAlign w:val="center"/>
                </w:tcPr>
                <w:p>
                  <w:pPr>
                    <w:pStyle w:val="253"/>
                    <w:rPr>
                      <w:rFonts w:eastAsia="仿宋_GB2312"/>
                      <w:color w:val="000000"/>
                    </w:rPr>
                  </w:pPr>
                  <w:r>
                    <w:rPr>
                      <w:rFonts w:hint="eastAsia" w:eastAsia="仿宋_GB2312"/>
                      <w:color w:val="000000"/>
                    </w:rPr>
                    <w:t>6</w:t>
                  </w:r>
                  <w:r>
                    <w:rPr>
                      <w:rFonts w:eastAsia="仿宋_GB2312"/>
                      <w:color w:val="000000"/>
                    </w:rPr>
                    <w:t>1.70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Z6（</w:t>
                  </w:r>
                  <w:r>
                    <w:rPr>
                      <w:rFonts w:hint="eastAsia" w:ascii="Times New Roman" w:hAnsi="Times New Roman" w:eastAsia="仿宋_GB2312"/>
                      <w:szCs w:val="21"/>
                    </w:rPr>
                    <w:t>下</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61.80</w:t>
                  </w:r>
                </w:p>
              </w:tc>
              <w:tc>
                <w:tcPr>
                  <w:tcW w:w="702" w:type="pct"/>
                  <w:shd w:val="clear" w:color="auto" w:fill="auto"/>
                  <w:vAlign w:val="center"/>
                </w:tcPr>
                <w:p>
                  <w:pPr>
                    <w:pStyle w:val="253"/>
                    <w:rPr>
                      <w:rFonts w:eastAsia="仿宋_GB2312"/>
                      <w:color w:val="000000"/>
                    </w:rPr>
                  </w:pPr>
                  <w:r>
                    <w:rPr>
                      <w:rFonts w:eastAsia="仿宋_GB2312"/>
                      <w:color w:val="000000"/>
                    </w:rPr>
                    <w:t>16.88</w:t>
                  </w:r>
                </w:p>
              </w:tc>
              <w:tc>
                <w:tcPr>
                  <w:tcW w:w="789" w:type="pct"/>
                  <w:shd w:val="clear" w:color="auto" w:fill="auto"/>
                  <w:vAlign w:val="center"/>
                </w:tcPr>
                <w:p>
                  <w:pPr>
                    <w:pStyle w:val="253"/>
                    <w:rPr>
                      <w:rFonts w:eastAsia="仿宋_GB2312"/>
                      <w:color w:val="000000"/>
                    </w:rPr>
                  </w:pPr>
                  <w:r>
                    <w:rPr>
                      <w:rFonts w:hint="eastAsia" w:eastAsia="仿宋_GB2312"/>
                      <w:color w:val="000000"/>
                    </w:rPr>
                    <w:t>6</w:t>
                  </w:r>
                  <w:r>
                    <w:rPr>
                      <w:rFonts w:eastAsia="仿宋_GB2312"/>
                      <w:color w:val="000000"/>
                    </w:rPr>
                    <w:t>1.80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Z7（</w:t>
                  </w:r>
                  <w:r>
                    <w:rPr>
                      <w:rFonts w:hint="eastAsia" w:ascii="Times New Roman" w:hAnsi="Times New Roman" w:eastAsia="仿宋_GB2312"/>
                      <w:szCs w:val="21"/>
                    </w:rPr>
                    <w:t>上</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47.30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3.60</w:t>
                  </w:r>
                </w:p>
              </w:tc>
              <w:tc>
                <w:tcPr>
                  <w:tcW w:w="789" w:type="pct"/>
                  <w:shd w:val="clear" w:color="auto" w:fill="auto"/>
                  <w:vAlign w:val="center"/>
                </w:tcPr>
                <w:p>
                  <w:pPr>
                    <w:pStyle w:val="253"/>
                    <w:rPr>
                      <w:rFonts w:eastAsia="仿宋_GB2312"/>
                      <w:color w:val="000000"/>
                    </w:rPr>
                  </w:pPr>
                  <w:r>
                    <w:rPr>
                      <w:rFonts w:hint="eastAsia" w:eastAsia="仿宋_GB2312"/>
                      <w:color w:val="000000"/>
                    </w:rPr>
                    <w:t>4</w:t>
                  </w:r>
                  <w:r>
                    <w:rPr>
                      <w:rFonts w:eastAsia="仿宋_GB2312"/>
                      <w:color w:val="000000"/>
                    </w:rPr>
                    <w:t>7.30</w:t>
                  </w:r>
                </w:p>
              </w:tc>
              <w:tc>
                <w:tcPr>
                  <w:tcW w:w="613" w:type="pct"/>
                  <w:vAlign w:val="center"/>
                </w:tcPr>
                <w:p>
                  <w:pPr>
                    <w:pStyle w:val="253"/>
                    <w:rPr>
                      <w:rFonts w:eastAsia="仿宋_GB2312"/>
                      <w:bCs/>
                    </w:rPr>
                  </w:pPr>
                  <w:r>
                    <w:rPr>
                      <w:rFonts w:hint="eastAsia" w:eastAsia="仿宋_GB2312"/>
                      <w:bCs/>
                    </w:rPr>
                    <w:t>达标</w:t>
                  </w:r>
                </w:p>
              </w:tc>
              <w:tc>
                <w:tcPr>
                  <w:tcW w:w="1476" w:type="pct"/>
                  <w:vMerge w:val="restart"/>
                  <w:shd w:val="clear" w:color="auto" w:fill="auto"/>
                  <w:vAlign w:val="center"/>
                </w:tcPr>
                <w:p>
                  <w:pPr>
                    <w:pStyle w:val="253"/>
                    <w:rPr>
                      <w:rFonts w:eastAsia="仿宋_GB2312"/>
                      <w:color w:val="000000"/>
                    </w:rPr>
                  </w:pPr>
                  <w:r>
                    <w:rPr>
                      <w:rFonts w:eastAsia="仿宋_GB2312"/>
                      <w:bCs/>
                    </w:rPr>
                    <w:t>《声环境质量标准》（GB3096-2008）中2类标准</w:t>
                  </w:r>
                  <w:r>
                    <w:rPr>
                      <w:rFonts w:hint="eastAsia" w:eastAsia="仿宋_GB2312"/>
                      <w:bCs/>
                    </w:rPr>
                    <w:t>，昼间6</w:t>
                  </w:r>
                  <w:r>
                    <w:rPr>
                      <w:rFonts w:eastAsia="仿宋_GB2312"/>
                      <w:bCs/>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Z7（中）</w:t>
                  </w:r>
                </w:p>
              </w:tc>
              <w:tc>
                <w:tcPr>
                  <w:tcW w:w="715" w:type="pct"/>
                  <w:shd w:val="clear" w:color="auto" w:fill="auto"/>
                  <w:vAlign w:val="center"/>
                </w:tcPr>
                <w:p>
                  <w:pPr>
                    <w:pStyle w:val="253"/>
                    <w:rPr>
                      <w:rFonts w:eastAsia="仿宋_GB2312"/>
                      <w:color w:val="000000"/>
                    </w:rPr>
                  </w:pPr>
                  <w:r>
                    <w:rPr>
                      <w:rFonts w:eastAsia="仿宋_GB2312"/>
                      <w:color w:val="000000"/>
                    </w:rPr>
                    <w:t>47.20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3.71</w:t>
                  </w:r>
                </w:p>
              </w:tc>
              <w:tc>
                <w:tcPr>
                  <w:tcW w:w="789" w:type="pct"/>
                  <w:shd w:val="clear" w:color="auto" w:fill="auto"/>
                  <w:vAlign w:val="center"/>
                </w:tcPr>
                <w:p>
                  <w:pPr>
                    <w:pStyle w:val="253"/>
                    <w:rPr>
                      <w:rFonts w:eastAsia="仿宋_GB2312"/>
                      <w:color w:val="000000"/>
                    </w:rPr>
                  </w:pPr>
                  <w:r>
                    <w:rPr>
                      <w:rFonts w:hint="eastAsia" w:eastAsia="仿宋_GB2312"/>
                      <w:color w:val="000000"/>
                    </w:rPr>
                    <w:t>4</w:t>
                  </w:r>
                  <w:r>
                    <w:rPr>
                      <w:rFonts w:eastAsia="仿宋_GB2312"/>
                      <w:color w:val="000000"/>
                    </w:rPr>
                    <w:t>7.20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Z7（</w:t>
                  </w:r>
                  <w:r>
                    <w:rPr>
                      <w:rFonts w:hint="eastAsia" w:ascii="Times New Roman" w:hAnsi="Times New Roman" w:eastAsia="仿宋_GB2312"/>
                      <w:szCs w:val="21"/>
                    </w:rPr>
                    <w:t>下</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47.20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3.05</w:t>
                  </w:r>
                </w:p>
              </w:tc>
              <w:tc>
                <w:tcPr>
                  <w:tcW w:w="789" w:type="pct"/>
                  <w:shd w:val="clear" w:color="auto" w:fill="auto"/>
                  <w:vAlign w:val="center"/>
                </w:tcPr>
                <w:p>
                  <w:pPr>
                    <w:pStyle w:val="253"/>
                    <w:rPr>
                      <w:rFonts w:eastAsia="仿宋_GB2312"/>
                      <w:color w:val="000000"/>
                    </w:rPr>
                  </w:pPr>
                  <w:r>
                    <w:rPr>
                      <w:rFonts w:hint="eastAsia" w:eastAsia="仿宋_GB2312"/>
                      <w:color w:val="000000"/>
                    </w:rPr>
                    <w:t>4</w:t>
                  </w:r>
                  <w:r>
                    <w:rPr>
                      <w:rFonts w:eastAsia="仿宋_GB2312"/>
                      <w:color w:val="000000"/>
                    </w:rPr>
                    <w:t>7.20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Z8（</w:t>
                  </w:r>
                  <w:r>
                    <w:rPr>
                      <w:rFonts w:hint="eastAsia" w:ascii="Times New Roman" w:hAnsi="Times New Roman" w:eastAsia="仿宋_GB2312"/>
                      <w:szCs w:val="21"/>
                    </w:rPr>
                    <w:t>上</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54.40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6.37</w:t>
                  </w:r>
                </w:p>
              </w:tc>
              <w:tc>
                <w:tcPr>
                  <w:tcW w:w="789"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4.40</w:t>
                  </w:r>
                </w:p>
              </w:tc>
              <w:tc>
                <w:tcPr>
                  <w:tcW w:w="613" w:type="pct"/>
                  <w:vAlign w:val="center"/>
                </w:tcPr>
                <w:p>
                  <w:pPr>
                    <w:pStyle w:val="253"/>
                    <w:rPr>
                      <w:rFonts w:eastAsia="仿宋_GB2312"/>
                      <w:bCs/>
                    </w:rPr>
                  </w:pPr>
                  <w:r>
                    <w:rPr>
                      <w:rFonts w:hint="eastAsia" w:eastAsia="仿宋_GB2312"/>
                      <w:bCs/>
                    </w:rPr>
                    <w:t>达标</w:t>
                  </w:r>
                </w:p>
              </w:tc>
              <w:tc>
                <w:tcPr>
                  <w:tcW w:w="1476" w:type="pct"/>
                  <w:vMerge w:val="restart"/>
                  <w:shd w:val="clear" w:color="auto" w:fill="auto"/>
                  <w:vAlign w:val="center"/>
                </w:tcPr>
                <w:p>
                  <w:pPr>
                    <w:pStyle w:val="253"/>
                    <w:rPr>
                      <w:rFonts w:eastAsia="仿宋_GB2312"/>
                      <w:color w:val="000000"/>
                    </w:rPr>
                  </w:pPr>
                  <w:r>
                    <w:rPr>
                      <w:rFonts w:eastAsia="仿宋_GB2312"/>
                      <w:bCs/>
                    </w:rPr>
                    <w:t>《声环境质量标准》（GB3096-2008）中4</w:t>
                  </w:r>
                  <w:r>
                    <w:rPr>
                      <w:rFonts w:hint="eastAsia" w:eastAsia="仿宋_GB2312"/>
                      <w:bCs/>
                    </w:rPr>
                    <w:t>a</w:t>
                  </w:r>
                  <w:r>
                    <w:rPr>
                      <w:rFonts w:eastAsia="仿宋_GB2312"/>
                      <w:bCs/>
                    </w:rPr>
                    <w:t>类标准</w:t>
                  </w:r>
                  <w:r>
                    <w:rPr>
                      <w:rFonts w:hint="eastAsia" w:eastAsia="仿宋_GB2312"/>
                      <w:bCs/>
                    </w:rPr>
                    <w:t>，昼间7</w:t>
                  </w:r>
                  <w:r>
                    <w:rPr>
                      <w:rFonts w:eastAsia="仿宋_GB2312"/>
                      <w:bCs/>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Z8（中）</w:t>
                  </w:r>
                </w:p>
              </w:tc>
              <w:tc>
                <w:tcPr>
                  <w:tcW w:w="715" w:type="pct"/>
                  <w:shd w:val="clear" w:color="auto" w:fill="auto"/>
                  <w:vAlign w:val="center"/>
                </w:tcPr>
                <w:p>
                  <w:pPr>
                    <w:pStyle w:val="253"/>
                    <w:rPr>
                      <w:rFonts w:eastAsia="仿宋_GB2312"/>
                      <w:color w:val="000000"/>
                    </w:rPr>
                  </w:pPr>
                  <w:r>
                    <w:rPr>
                      <w:rFonts w:eastAsia="仿宋_GB2312"/>
                      <w:color w:val="000000"/>
                    </w:rPr>
                    <w:t>55.90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5.86</w:t>
                  </w:r>
                </w:p>
              </w:tc>
              <w:tc>
                <w:tcPr>
                  <w:tcW w:w="789"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5.90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705" w:type="pct"/>
                  <w:shd w:val="clear" w:color="auto" w:fill="auto"/>
                  <w:vAlign w:val="center"/>
                </w:tcPr>
                <w:p>
                  <w:pPr>
                    <w:jc w:val="center"/>
                    <w:rPr>
                      <w:rFonts w:ascii="Times New Roman" w:hAnsi="Times New Roman" w:eastAsia="仿宋_GB2312"/>
                      <w:szCs w:val="21"/>
                    </w:rPr>
                  </w:pPr>
                  <w:r>
                    <w:rPr>
                      <w:rFonts w:ascii="Times New Roman" w:hAnsi="Times New Roman" w:eastAsia="仿宋_GB2312"/>
                      <w:szCs w:val="21"/>
                    </w:rPr>
                    <w:t>Z8（</w:t>
                  </w:r>
                  <w:r>
                    <w:rPr>
                      <w:rFonts w:hint="eastAsia" w:ascii="Times New Roman" w:hAnsi="Times New Roman" w:eastAsia="仿宋_GB2312"/>
                      <w:szCs w:val="21"/>
                    </w:rPr>
                    <w:t>下</w:t>
                  </w:r>
                  <w:r>
                    <w:rPr>
                      <w:rFonts w:ascii="Times New Roman" w:hAnsi="Times New Roman" w:eastAsia="仿宋_GB2312"/>
                      <w:szCs w:val="21"/>
                    </w:rPr>
                    <w:t>）</w:t>
                  </w:r>
                </w:p>
              </w:tc>
              <w:tc>
                <w:tcPr>
                  <w:tcW w:w="715" w:type="pct"/>
                  <w:shd w:val="clear" w:color="auto" w:fill="auto"/>
                  <w:vAlign w:val="center"/>
                </w:tcPr>
                <w:p>
                  <w:pPr>
                    <w:pStyle w:val="253"/>
                    <w:rPr>
                      <w:rFonts w:eastAsia="仿宋_GB2312"/>
                      <w:color w:val="000000"/>
                    </w:rPr>
                  </w:pPr>
                  <w:r>
                    <w:rPr>
                      <w:rFonts w:eastAsia="仿宋_GB2312"/>
                      <w:color w:val="000000"/>
                    </w:rPr>
                    <w:t>56.60</w:t>
                  </w:r>
                </w:p>
              </w:tc>
              <w:tc>
                <w:tcPr>
                  <w:tcW w:w="702" w:type="pct"/>
                  <w:shd w:val="clear" w:color="auto" w:fill="auto"/>
                  <w:vAlign w:val="center"/>
                </w:tcPr>
                <w:p>
                  <w:pPr>
                    <w:pStyle w:val="253"/>
                    <w:rPr>
                      <w:rFonts w:eastAsia="仿宋_GB2312"/>
                      <w:color w:val="000000"/>
                    </w:rPr>
                  </w:pPr>
                  <w:r>
                    <w:rPr>
                      <w:rFonts w:hint="eastAsia" w:eastAsia="仿宋_GB2312"/>
                      <w:color w:val="000000"/>
                    </w:rPr>
                    <w:t>1</w:t>
                  </w:r>
                  <w:r>
                    <w:rPr>
                      <w:rFonts w:eastAsia="仿宋_GB2312"/>
                      <w:color w:val="000000"/>
                    </w:rPr>
                    <w:t>3.99</w:t>
                  </w:r>
                </w:p>
              </w:tc>
              <w:tc>
                <w:tcPr>
                  <w:tcW w:w="789" w:type="pct"/>
                  <w:shd w:val="clear" w:color="auto" w:fill="auto"/>
                  <w:vAlign w:val="center"/>
                </w:tcPr>
                <w:p>
                  <w:pPr>
                    <w:pStyle w:val="253"/>
                    <w:rPr>
                      <w:rFonts w:eastAsia="仿宋_GB2312"/>
                      <w:color w:val="000000"/>
                    </w:rPr>
                  </w:pPr>
                  <w:r>
                    <w:rPr>
                      <w:rFonts w:hint="eastAsia" w:eastAsia="仿宋_GB2312"/>
                      <w:color w:val="000000"/>
                    </w:rPr>
                    <w:t>5</w:t>
                  </w:r>
                  <w:r>
                    <w:rPr>
                      <w:rFonts w:eastAsia="仿宋_GB2312"/>
                      <w:color w:val="000000"/>
                    </w:rPr>
                    <w:t>6.60</w:t>
                  </w:r>
                </w:p>
              </w:tc>
              <w:tc>
                <w:tcPr>
                  <w:tcW w:w="613" w:type="pct"/>
                  <w:vAlign w:val="center"/>
                </w:tcPr>
                <w:p>
                  <w:pPr>
                    <w:pStyle w:val="253"/>
                    <w:rPr>
                      <w:rFonts w:eastAsia="仿宋_GB2312"/>
                      <w:color w:val="000000"/>
                    </w:rPr>
                  </w:pPr>
                  <w:r>
                    <w:rPr>
                      <w:rFonts w:hint="eastAsia" w:eastAsia="仿宋_GB2312"/>
                      <w:bCs/>
                    </w:rPr>
                    <w:t>达标</w:t>
                  </w:r>
                </w:p>
              </w:tc>
              <w:tc>
                <w:tcPr>
                  <w:tcW w:w="1476" w:type="pct"/>
                  <w:vMerge w:val="continue"/>
                  <w:shd w:val="clear" w:color="auto" w:fill="auto"/>
                  <w:vAlign w:val="center"/>
                </w:tcPr>
                <w:p>
                  <w:pPr>
                    <w:pStyle w:val="253"/>
                    <w:rPr>
                      <w:rFonts w:eastAsia="仿宋_GB2312"/>
                      <w:color w:val="000000"/>
                    </w:rPr>
                  </w:pPr>
                </w:p>
              </w:tc>
            </w:tr>
          </w:tbl>
          <w:p>
            <w:pPr>
              <w:ind w:firstLine="476" w:firstLineChars="200"/>
              <w:rPr>
                <w:rFonts w:ascii="Times New Roman" w:hAnsi="Times New Roman" w:eastAsia="仿宋_GB2312"/>
                <w:iCs/>
                <w:color w:val="000000"/>
                <w:spacing w:val="-1"/>
                <w:sz w:val="24"/>
                <w:szCs w:val="24"/>
              </w:rPr>
            </w:pPr>
            <w:r>
              <w:rPr>
                <w:rFonts w:hint="eastAsia" w:ascii="Times New Roman" w:hAnsi="Times New Roman" w:eastAsia="仿宋_GB2312"/>
                <w:iCs/>
                <w:color w:val="000000"/>
                <w:spacing w:val="-1"/>
                <w:sz w:val="24"/>
                <w:szCs w:val="24"/>
              </w:rPr>
              <w:t>项目噪声等声线图见下图7</w:t>
            </w:r>
            <w:r>
              <w:rPr>
                <w:rFonts w:ascii="Times New Roman" w:hAnsi="Times New Roman" w:eastAsia="仿宋_GB2312"/>
                <w:iCs/>
                <w:color w:val="000000"/>
                <w:spacing w:val="-1"/>
                <w:sz w:val="24"/>
                <w:szCs w:val="24"/>
              </w:rPr>
              <w:t>-2</w:t>
            </w:r>
            <w:r>
              <w:rPr>
                <w:rFonts w:hint="eastAsia" w:ascii="Times New Roman" w:hAnsi="Times New Roman" w:eastAsia="仿宋_GB2312"/>
                <w:iCs/>
                <w:color w:val="000000"/>
                <w:spacing w:val="-1"/>
                <w:sz w:val="24"/>
                <w:szCs w:val="24"/>
              </w:rPr>
              <w:t>。</w:t>
            </w:r>
          </w:p>
          <w:p>
            <w:pPr>
              <w:jc w:val="center"/>
              <w:rPr>
                <w:rFonts w:ascii="Times New Roman" w:hAnsi="Times New Roman" w:eastAsia="仿宋_GB2312"/>
                <w:iCs/>
                <w:color w:val="000000"/>
                <w:spacing w:val="-1"/>
                <w:sz w:val="24"/>
                <w:szCs w:val="24"/>
              </w:rPr>
            </w:pPr>
            <w:r>
              <w:drawing>
                <wp:inline distT="0" distB="0" distL="0" distR="0">
                  <wp:extent cx="5128260" cy="3134995"/>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2"/>
                          <a:stretch>
                            <a:fillRect/>
                          </a:stretch>
                        </pic:blipFill>
                        <pic:spPr>
                          <a:xfrm>
                            <a:off x="0" y="0"/>
                            <a:ext cx="5131805" cy="3136960"/>
                          </a:xfrm>
                          <a:prstGeom prst="rect">
                            <a:avLst/>
                          </a:prstGeom>
                        </pic:spPr>
                      </pic:pic>
                    </a:graphicData>
                  </a:graphic>
                </wp:inline>
              </w:drawing>
            </w:r>
          </w:p>
          <w:p>
            <w:pPr>
              <w:adjustRightInd w:val="0"/>
              <w:snapToGrid w:val="0"/>
              <w:spacing w:line="480" w:lineRule="exact"/>
              <w:jc w:val="center"/>
              <w:rPr>
                <w:rFonts w:ascii="Times New Roman" w:hAnsi="Times New Roman" w:eastAsia="仿宋_GB2312"/>
                <w:b/>
                <w:color w:val="000000"/>
                <w:sz w:val="24"/>
                <w:szCs w:val="24"/>
              </w:rPr>
            </w:pPr>
            <w:r>
              <w:rPr>
                <w:rFonts w:hint="eastAsia" w:ascii="Times New Roman" w:hAnsi="Times New Roman" w:eastAsia="仿宋_GB2312"/>
                <w:b/>
                <w:color w:val="000000"/>
                <w:sz w:val="24"/>
                <w:szCs w:val="24"/>
              </w:rPr>
              <w:t>图</w:t>
            </w:r>
            <w:r>
              <w:rPr>
                <w:rFonts w:ascii="Times New Roman" w:hAnsi="Times New Roman" w:eastAsia="仿宋_GB2312"/>
                <w:b/>
                <w:color w:val="000000"/>
                <w:sz w:val="24"/>
                <w:szCs w:val="24"/>
              </w:rPr>
              <w:t>7-2 噪声预测</w:t>
            </w:r>
            <w:r>
              <w:rPr>
                <w:rFonts w:hint="eastAsia" w:ascii="Times New Roman" w:hAnsi="Times New Roman" w:eastAsia="仿宋_GB2312"/>
                <w:b/>
                <w:color w:val="000000"/>
                <w:sz w:val="24"/>
                <w:szCs w:val="24"/>
              </w:rPr>
              <w:t>等声线图</w:t>
            </w:r>
          </w:p>
          <w:p>
            <w:pPr>
              <w:spacing w:line="500" w:lineRule="exact"/>
              <w:ind w:firstLine="476" w:firstLineChars="200"/>
              <w:rPr>
                <w:rFonts w:ascii="Times New Roman" w:hAnsi="Times New Roman" w:eastAsia="仿宋_GB2312"/>
                <w:color w:val="000000"/>
                <w:sz w:val="24"/>
                <w:szCs w:val="24"/>
              </w:rPr>
            </w:pPr>
            <w:r>
              <w:rPr>
                <w:rFonts w:ascii="Times New Roman" w:hAnsi="Times New Roman" w:eastAsia="仿宋_GB2312"/>
                <w:iCs/>
                <w:color w:val="000000"/>
                <w:spacing w:val="-1"/>
                <w:sz w:val="24"/>
                <w:szCs w:val="24"/>
              </w:rPr>
              <w:t>由表7-19</w:t>
            </w:r>
            <w:r>
              <w:rPr>
                <w:rFonts w:hint="eastAsia" w:ascii="Times New Roman" w:hAnsi="Times New Roman" w:eastAsia="仿宋_GB2312"/>
                <w:iCs/>
                <w:color w:val="000000"/>
                <w:spacing w:val="-1"/>
                <w:sz w:val="24"/>
                <w:szCs w:val="24"/>
              </w:rPr>
              <w:t>及图7-</w:t>
            </w:r>
            <w:r>
              <w:rPr>
                <w:rFonts w:ascii="Times New Roman" w:hAnsi="Times New Roman" w:eastAsia="仿宋_GB2312"/>
                <w:iCs/>
                <w:color w:val="000000"/>
                <w:spacing w:val="-1"/>
                <w:sz w:val="24"/>
                <w:szCs w:val="24"/>
              </w:rPr>
              <w:t>2可知，</w:t>
            </w:r>
            <w:r>
              <w:rPr>
                <w:rFonts w:hint="eastAsia" w:ascii="Times New Roman" w:hAnsi="Times New Roman" w:eastAsia="仿宋_GB2312"/>
                <w:iCs/>
                <w:color w:val="000000"/>
                <w:spacing w:val="-1"/>
                <w:sz w:val="24"/>
                <w:szCs w:val="24"/>
              </w:rPr>
              <w:t>声源</w:t>
            </w:r>
            <w:r>
              <w:rPr>
                <w:rFonts w:ascii="Times New Roman" w:hAnsi="Times New Roman" w:eastAsia="仿宋_GB2312"/>
                <w:iCs/>
                <w:color w:val="000000"/>
                <w:spacing w:val="-1"/>
                <w:sz w:val="24"/>
                <w:szCs w:val="24"/>
              </w:rPr>
              <w:t>噪声随距离的增大逐渐衰减，</w:t>
            </w:r>
            <w:r>
              <w:rPr>
                <w:rFonts w:hint="eastAsia" w:ascii="Times New Roman" w:hAnsi="Times New Roman" w:eastAsia="仿宋_GB2312"/>
                <w:iCs/>
                <w:color w:val="000000"/>
                <w:spacing w:val="-1"/>
                <w:sz w:val="24"/>
                <w:szCs w:val="24"/>
              </w:rPr>
              <w:t>项目声源对周边环境噪声基本无影响，临近凤凰西街的敏感点受次干道噪声影响较大，厂界贡献值均较低，噪声值为1</w:t>
            </w:r>
            <w:r>
              <w:rPr>
                <w:rFonts w:ascii="Times New Roman" w:hAnsi="Times New Roman" w:eastAsia="仿宋_GB2312"/>
                <w:iCs/>
                <w:color w:val="000000"/>
                <w:spacing w:val="-1"/>
                <w:sz w:val="24"/>
                <w:szCs w:val="24"/>
              </w:rPr>
              <w:t>0.17</w:t>
            </w:r>
            <w:r>
              <w:rPr>
                <w:rFonts w:hint="eastAsia" w:ascii="Times New Roman" w:hAnsi="Times New Roman" w:eastAsia="仿宋_GB2312"/>
                <w:iCs/>
                <w:color w:val="000000"/>
                <w:spacing w:val="-1"/>
                <w:sz w:val="24"/>
                <w:szCs w:val="24"/>
              </w:rPr>
              <w:t>~</w:t>
            </w:r>
            <w:r>
              <w:rPr>
                <w:rFonts w:ascii="Times New Roman" w:hAnsi="Times New Roman" w:eastAsia="仿宋_GB2312"/>
                <w:iCs/>
                <w:color w:val="000000"/>
                <w:spacing w:val="-1"/>
                <w:sz w:val="24"/>
                <w:szCs w:val="24"/>
              </w:rPr>
              <w:t>33.08 dB(A)</w:t>
            </w:r>
            <w:r>
              <w:rPr>
                <w:rFonts w:hint="eastAsia" w:ascii="Times New Roman" w:hAnsi="Times New Roman" w:eastAsia="仿宋_GB2312"/>
                <w:iCs/>
                <w:color w:val="000000"/>
                <w:spacing w:val="-1"/>
                <w:sz w:val="24"/>
                <w:szCs w:val="24"/>
              </w:rPr>
              <w:t>，满足</w:t>
            </w:r>
            <w:r>
              <w:rPr>
                <w:rFonts w:ascii="Times New Roman" w:hAnsi="Times New Roman" w:eastAsia="仿宋_GB2312"/>
                <w:color w:val="000000"/>
                <w:sz w:val="24"/>
                <w:szCs w:val="24"/>
              </w:rPr>
              <w:t>《工业企业厂界环境噪声排放标准》（GB12348-2008）</w:t>
            </w:r>
            <w:r>
              <w:rPr>
                <w:rFonts w:hint="eastAsia" w:ascii="Times New Roman" w:hAnsi="Times New Roman" w:eastAsia="仿宋_GB2312"/>
                <w:color w:val="000000"/>
                <w:sz w:val="24"/>
                <w:szCs w:val="24"/>
              </w:rPr>
              <w:t>中2类标准。</w:t>
            </w:r>
            <w:r>
              <w:rPr>
                <w:rFonts w:hint="eastAsia" w:ascii="Times New Roman" w:hAnsi="Times New Roman" w:eastAsia="仿宋_GB2312"/>
                <w:iCs/>
                <w:color w:val="000000"/>
                <w:spacing w:val="-1"/>
                <w:sz w:val="24"/>
                <w:szCs w:val="24"/>
              </w:rPr>
              <w:t>各敏感点噪声最大预测叠加值为Z</w:t>
            </w:r>
            <w:r>
              <w:rPr>
                <w:rFonts w:ascii="Times New Roman" w:hAnsi="Times New Roman" w:eastAsia="仿宋_GB2312"/>
                <w:iCs/>
                <w:color w:val="000000"/>
                <w:spacing w:val="-1"/>
                <w:sz w:val="24"/>
                <w:szCs w:val="24"/>
              </w:rPr>
              <w:t>6</w:t>
            </w:r>
            <w:r>
              <w:rPr>
                <w:rFonts w:hint="eastAsia" w:ascii="Times New Roman" w:hAnsi="Times New Roman" w:eastAsia="仿宋_GB2312"/>
                <w:iCs/>
                <w:color w:val="000000"/>
                <w:spacing w:val="-1"/>
                <w:sz w:val="24"/>
                <w:szCs w:val="24"/>
              </w:rPr>
              <w:t>（上）的6</w:t>
            </w:r>
            <w:r>
              <w:rPr>
                <w:rFonts w:ascii="Times New Roman" w:hAnsi="Times New Roman" w:eastAsia="仿宋_GB2312"/>
                <w:iCs/>
                <w:color w:val="000000"/>
                <w:spacing w:val="-1"/>
                <w:sz w:val="24"/>
                <w:szCs w:val="24"/>
              </w:rPr>
              <w:t>3.50dB(A)</w:t>
            </w:r>
            <w:r>
              <w:rPr>
                <w:rFonts w:hint="eastAsia" w:ascii="Times New Roman" w:hAnsi="Times New Roman" w:eastAsia="仿宋_GB2312"/>
                <w:iCs/>
                <w:color w:val="000000"/>
                <w:spacing w:val="-1"/>
                <w:sz w:val="24"/>
                <w:szCs w:val="24"/>
              </w:rPr>
              <w:t>，最小值为Z</w:t>
            </w:r>
            <w:r>
              <w:rPr>
                <w:rFonts w:ascii="Times New Roman" w:hAnsi="Times New Roman" w:eastAsia="仿宋_GB2312"/>
                <w:iCs/>
                <w:color w:val="000000"/>
                <w:spacing w:val="-1"/>
                <w:sz w:val="24"/>
                <w:szCs w:val="24"/>
              </w:rPr>
              <w:t>7</w:t>
            </w:r>
            <w:r>
              <w:rPr>
                <w:rFonts w:hint="eastAsia" w:ascii="Times New Roman" w:hAnsi="Times New Roman" w:eastAsia="仿宋_GB2312"/>
                <w:iCs/>
                <w:color w:val="000000"/>
                <w:spacing w:val="-1"/>
                <w:sz w:val="24"/>
                <w:szCs w:val="24"/>
              </w:rPr>
              <w:t>（中、下）的4</w:t>
            </w:r>
            <w:r>
              <w:rPr>
                <w:rFonts w:ascii="Times New Roman" w:hAnsi="Times New Roman" w:eastAsia="仿宋_GB2312"/>
                <w:iCs/>
                <w:color w:val="000000"/>
                <w:spacing w:val="-1"/>
                <w:sz w:val="24"/>
                <w:szCs w:val="24"/>
              </w:rPr>
              <w:t>7.20dB(A)</w:t>
            </w:r>
            <w:r>
              <w:rPr>
                <w:rFonts w:hint="eastAsia" w:ascii="Times New Roman" w:hAnsi="Times New Roman" w:eastAsia="仿宋_GB2312"/>
                <w:iCs/>
                <w:color w:val="000000"/>
                <w:spacing w:val="-1"/>
                <w:sz w:val="24"/>
                <w:szCs w:val="24"/>
              </w:rPr>
              <w:t>。项目建成后对项目周边</w:t>
            </w:r>
            <w:r>
              <w:rPr>
                <w:rFonts w:ascii="Times New Roman" w:hAnsi="Times New Roman" w:eastAsia="仿宋_GB2312"/>
                <w:iCs/>
                <w:color w:val="000000"/>
                <w:spacing w:val="-1"/>
                <w:sz w:val="24"/>
                <w:szCs w:val="24"/>
              </w:rPr>
              <w:t>200</w:t>
            </w:r>
            <w:r>
              <w:rPr>
                <w:rFonts w:hint="eastAsia" w:ascii="Times New Roman" w:hAnsi="Times New Roman" w:eastAsia="仿宋_GB2312"/>
                <w:iCs/>
                <w:color w:val="000000"/>
                <w:spacing w:val="-1"/>
                <w:sz w:val="24"/>
                <w:szCs w:val="24"/>
              </w:rPr>
              <w:t>m范围内居民区及学校影响较小，</w:t>
            </w:r>
            <w:r>
              <w:rPr>
                <w:rFonts w:ascii="Times New Roman" w:hAnsi="Times New Roman" w:eastAsia="仿宋_GB2312"/>
                <w:color w:val="000000"/>
                <w:sz w:val="24"/>
                <w:szCs w:val="24"/>
              </w:rPr>
              <w:t>在严格落实各项噪声防治措施的条件下</w:t>
            </w:r>
            <w:r>
              <w:rPr>
                <w:rFonts w:hint="eastAsia" w:ascii="Times New Roman" w:hAnsi="Times New Roman" w:eastAsia="仿宋_GB2312"/>
                <w:color w:val="000000"/>
                <w:sz w:val="24"/>
                <w:szCs w:val="24"/>
              </w:rPr>
              <w:t>，</w:t>
            </w:r>
            <w:r>
              <w:rPr>
                <w:rFonts w:hint="eastAsia" w:ascii="Times New Roman" w:hAnsi="Times New Roman" w:eastAsia="仿宋_GB2312"/>
                <w:iCs/>
                <w:color w:val="000000"/>
                <w:spacing w:val="-1"/>
                <w:sz w:val="24"/>
                <w:szCs w:val="24"/>
              </w:rPr>
              <w:t>噪声预测数据显示各敏感点噪声均达标，Z</w:t>
            </w:r>
            <w:r>
              <w:rPr>
                <w:rFonts w:ascii="Times New Roman" w:hAnsi="Times New Roman" w:eastAsia="仿宋_GB2312"/>
                <w:iCs/>
                <w:color w:val="000000"/>
                <w:spacing w:val="-1"/>
                <w:sz w:val="24"/>
                <w:szCs w:val="24"/>
              </w:rPr>
              <w:t>7</w:t>
            </w:r>
            <w:r>
              <w:rPr>
                <w:rFonts w:hint="eastAsia" w:ascii="Times New Roman" w:hAnsi="Times New Roman" w:eastAsia="仿宋_GB2312"/>
                <w:iCs/>
                <w:color w:val="000000"/>
                <w:spacing w:val="-1"/>
                <w:sz w:val="24"/>
                <w:szCs w:val="24"/>
              </w:rPr>
              <w:t>敏感点</w:t>
            </w:r>
            <w:r>
              <w:rPr>
                <w:rFonts w:ascii="Times New Roman" w:hAnsi="Times New Roman" w:eastAsia="仿宋_GB2312"/>
                <w:color w:val="000000"/>
                <w:sz w:val="24"/>
                <w:szCs w:val="24"/>
              </w:rPr>
              <w:t>满足《</w:t>
            </w:r>
            <w:r>
              <w:rPr>
                <w:rFonts w:hint="eastAsia" w:ascii="Times New Roman" w:hAnsi="Times New Roman" w:eastAsia="仿宋_GB2312"/>
                <w:color w:val="000000"/>
                <w:sz w:val="24"/>
                <w:szCs w:val="24"/>
              </w:rPr>
              <w:t>声环境质量标准</w:t>
            </w:r>
            <w:r>
              <w:rPr>
                <w:rFonts w:ascii="Times New Roman" w:hAnsi="Times New Roman" w:eastAsia="仿宋_GB2312"/>
                <w:color w:val="000000"/>
                <w:sz w:val="24"/>
                <w:szCs w:val="24"/>
              </w:rPr>
              <w:t>》（GB3096-2008）2类标准</w:t>
            </w:r>
            <w:r>
              <w:rPr>
                <w:rFonts w:hint="eastAsia" w:ascii="Times New Roman" w:hAnsi="Times New Roman" w:eastAsia="仿宋_GB2312"/>
                <w:color w:val="000000"/>
                <w:sz w:val="24"/>
                <w:szCs w:val="24"/>
              </w:rPr>
              <w:t>，Z</w:t>
            </w:r>
            <w:r>
              <w:rPr>
                <w:rFonts w:ascii="Times New Roman" w:hAnsi="Times New Roman" w:eastAsia="仿宋_GB2312"/>
                <w:color w:val="000000"/>
                <w:sz w:val="24"/>
                <w:szCs w:val="24"/>
              </w:rPr>
              <w:t>5</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Z6</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Z8</w:t>
            </w:r>
            <w:r>
              <w:rPr>
                <w:rFonts w:hint="eastAsia" w:ascii="Times New Roman" w:hAnsi="Times New Roman" w:eastAsia="仿宋_GB2312"/>
                <w:color w:val="000000"/>
                <w:sz w:val="24"/>
                <w:szCs w:val="24"/>
              </w:rPr>
              <w:t>满足4a类标准</w:t>
            </w:r>
            <w:r>
              <w:rPr>
                <w:rFonts w:ascii="Times New Roman" w:hAnsi="Times New Roman" w:eastAsia="仿宋_GB2312"/>
                <w:color w:val="000000"/>
                <w:sz w:val="24"/>
                <w:szCs w:val="24"/>
              </w:rPr>
              <w:t>。</w:t>
            </w:r>
          </w:p>
          <w:p>
            <w:pPr>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综上所述，</w:t>
            </w:r>
            <w:r>
              <w:rPr>
                <w:rFonts w:hint="eastAsia" w:ascii="Times New Roman" w:hAnsi="Times New Roman" w:eastAsia="仿宋_GB2312"/>
                <w:color w:val="000000"/>
                <w:sz w:val="24"/>
                <w:szCs w:val="24"/>
              </w:rPr>
              <w:t>项目建设位置合理</w:t>
            </w:r>
            <w:r>
              <w:rPr>
                <w:rFonts w:ascii="Times New Roman" w:hAnsi="Times New Roman" w:eastAsia="仿宋_GB2312"/>
                <w:color w:val="000000"/>
                <w:sz w:val="24"/>
                <w:szCs w:val="24"/>
              </w:rPr>
              <w:t>，</w:t>
            </w:r>
            <w:r>
              <w:rPr>
                <w:rFonts w:hint="eastAsia" w:ascii="Times New Roman" w:hAnsi="Times New Roman" w:eastAsia="仿宋_GB2312"/>
                <w:color w:val="000000"/>
                <w:sz w:val="24"/>
                <w:szCs w:val="24"/>
              </w:rPr>
              <w:t>建成后的</w:t>
            </w:r>
            <w:r>
              <w:rPr>
                <w:rFonts w:ascii="Times New Roman" w:hAnsi="Times New Roman" w:eastAsia="仿宋_GB2312"/>
                <w:color w:val="000000"/>
                <w:sz w:val="24"/>
                <w:szCs w:val="24"/>
              </w:rPr>
              <w:t>噪声排放对周围环境影响</w:t>
            </w:r>
            <w:r>
              <w:rPr>
                <w:rFonts w:hint="eastAsia" w:ascii="Times New Roman" w:hAnsi="Times New Roman" w:eastAsia="仿宋_GB2312"/>
                <w:color w:val="000000"/>
                <w:sz w:val="24"/>
                <w:szCs w:val="24"/>
              </w:rPr>
              <w:t>较</w:t>
            </w:r>
            <w:r>
              <w:rPr>
                <w:rFonts w:ascii="Times New Roman" w:hAnsi="Times New Roman" w:eastAsia="仿宋_GB2312"/>
                <w:color w:val="000000"/>
                <w:sz w:val="24"/>
                <w:szCs w:val="24"/>
              </w:rPr>
              <w:t>小，噪声防治措施可行。</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（5）环境风险评价</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fldChar w:fldCharType="begin"/>
            </w:r>
            <w:r>
              <w:rPr>
                <w:rFonts w:ascii="Times New Roman" w:hAnsi="Times New Roman" w:eastAsia="仿宋_GB2312"/>
                <w:color w:val="000000"/>
                <w:sz w:val="24"/>
                <w:szCs w:val="24"/>
              </w:rPr>
              <w:instrText xml:space="preserve"> = 1 \* GB3 </w:instrText>
            </w:r>
            <w:r>
              <w:rPr>
                <w:rFonts w:ascii="Times New Roman" w:hAnsi="Times New Roman" w:eastAsia="仿宋_GB2312"/>
                <w:color w:val="000000"/>
                <w:sz w:val="24"/>
                <w:szCs w:val="24"/>
              </w:rPr>
              <w:fldChar w:fldCharType="separate"/>
            </w:r>
            <w:r>
              <w:rPr>
                <w:rFonts w:hint="eastAsia" w:ascii="宋体" w:hAnsi="宋体" w:cs="宋体"/>
                <w:color w:val="000000"/>
                <w:sz w:val="24"/>
                <w:szCs w:val="24"/>
              </w:rPr>
              <w:t>①</w:t>
            </w:r>
            <w:r>
              <w:rPr>
                <w:rFonts w:ascii="Times New Roman" w:hAnsi="Times New Roman" w:eastAsia="仿宋_GB2312"/>
                <w:color w:val="000000"/>
                <w:sz w:val="24"/>
                <w:szCs w:val="24"/>
              </w:rPr>
              <w:fldChar w:fldCharType="end"/>
            </w:r>
            <w:r>
              <w:rPr>
                <w:rFonts w:ascii="Times New Roman" w:hAnsi="Times New Roman" w:eastAsia="仿宋_GB2312"/>
                <w:color w:val="000000"/>
                <w:sz w:val="24"/>
                <w:szCs w:val="24"/>
              </w:rPr>
              <w:t xml:space="preserve"> 环境风险潜势初判</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根据《建设项目环境风险评价技术导则》（HJ169-2018）附录C，C.1.1计算所涉及的每种危险物质在厂界内的最大存在总量与其附录B中对应临界量的比值Q。</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当只涉及一种危险物质时，计算该物质的总量与其临界量比值，即为Q；</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当存在多种危险物质时，则按下式计算物质总量与其临界量比值Q：</w:t>
            </w:r>
          </w:p>
          <w:p>
            <w:pPr>
              <w:spacing w:line="500" w:lineRule="exact"/>
              <w:jc w:val="center"/>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Q=q</w:t>
            </w:r>
            <w:r>
              <w:rPr>
                <w:rFonts w:ascii="Times New Roman" w:hAnsi="Times New Roman" w:eastAsia="仿宋_GB2312"/>
                <w:iCs/>
                <w:color w:val="000000"/>
                <w:spacing w:val="-1"/>
                <w:sz w:val="24"/>
                <w:szCs w:val="24"/>
                <w:vertAlign w:val="subscript"/>
              </w:rPr>
              <w:t>1</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1</w:t>
            </w:r>
            <w:r>
              <w:rPr>
                <w:rFonts w:ascii="Times New Roman" w:hAnsi="Times New Roman" w:eastAsia="仿宋_GB2312"/>
                <w:iCs/>
                <w:color w:val="000000"/>
                <w:spacing w:val="-1"/>
                <w:sz w:val="24"/>
                <w:szCs w:val="24"/>
              </w:rPr>
              <w:t>+ q</w:t>
            </w:r>
            <w:r>
              <w:rPr>
                <w:rFonts w:ascii="Times New Roman" w:hAnsi="Times New Roman" w:eastAsia="仿宋_GB2312"/>
                <w:iCs/>
                <w:color w:val="000000"/>
                <w:spacing w:val="-1"/>
                <w:sz w:val="24"/>
                <w:szCs w:val="24"/>
                <w:vertAlign w:val="subscript"/>
              </w:rPr>
              <w:t>2</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2</w:t>
            </w:r>
            <w:r>
              <w:rPr>
                <w:rFonts w:ascii="Times New Roman" w:hAnsi="Times New Roman" w:eastAsia="仿宋_GB2312"/>
                <w:iCs/>
                <w:color w:val="000000"/>
                <w:spacing w:val="-1"/>
                <w:sz w:val="24"/>
                <w:szCs w:val="24"/>
              </w:rPr>
              <w:t>+ q</w:t>
            </w:r>
            <w:r>
              <w:rPr>
                <w:rFonts w:ascii="Times New Roman" w:hAnsi="Times New Roman" w:eastAsia="仿宋_GB2312"/>
                <w:iCs/>
                <w:color w:val="000000"/>
                <w:spacing w:val="-1"/>
                <w:sz w:val="24"/>
                <w:szCs w:val="24"/>
                <w:vertAlign w:val="subscript"/>
              </w:rPr>
              <w:t>3</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3</w:t>
            </w:r>
            <w:r>
              <w:rPr>
                <w:rFonts w:ascii="Times New Roman" w:hAnsi="Times New Roman" w:eastAsia="仿宋_GB2312"/>
                <w:iCs/>
                <w:color w:val="000000"/>
                <w:spacing w:val="-1"/>
                <w:sz w:val="24"/>
                <w:szCs w:val="24"/>
              </w:rPr>
              <w:t>+ ……+ qn/Qn</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式中：q</w:t>
            </w:r>
            <w:r>
              <w:rPr>
                <w:rFonts w:ascii="Times New Roman" w:hAnsi="Times New Roman" w:eastAsia="仿宋_GB2312"/>
                <w:iCs/>
                <w:color w:val="000000"/>
                <w:spacing w:val="-1"/>
                <w:sz w:val="24"/>
                <w:szCs w:val="24"/>
                <w:vertAlign w:val="subscript"/>
              </w:rPr>
              <w:t>1</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2</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3</w:t>
            </w:r>
            <w:r>
              <w:rPr>
                <w:rFonts w:ascii="Times New Roman" w:hAnsi="Times New Roman" w:eastAsia="仿宋_GB2312"/>
                <w:iCs/>
                <w:color w:val="000000"/>
                <w:spacing w:val="-1"/>
                <w:sz w:val="24"/>
                <w:szCs w:val="24"/>
              </w:rPr>
              <w:t>……，qn—每种危险物质最大存在总量，t；</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1</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2</w:t>
            </w:r>
            <w:r>
              <w:rPr>
                <w:rFonts w:ascii="Times New Roman" w:hAnsi="Times New Roman" w:eastAsia="仿宋_GB2312"/>
                <w:iCs/>
                <w:color w:val="000000"/>
                <w:spacing w:val="-1"/>
                <w:sz w:val="24"/>
                <w:szCs w:val="24"/>
              </w:rPr>
              <w:t>，Q</w:t>
            </w:r>
            <w:r>
              <w:rPr>
                <w:rFonts w:ascii="Times New Roman" w:hAnsi="Times New Roman" w:eastAsia="仿宋_GB2312"/>
                <w:iCs/>
                <w:color w:val="000000"/>
                <w:spacing w:val="-1"/>
                <w:sz w:val="24"/>
                <w:szCs w:val="24"/>
                <w:vertAlign w:val="subscript"/>
              </w:rPr>
              <w:t>3</w:t>
            </w:r>
            <w:r>
              <w:rPr>
                <w:rFonts w:ascii="Times New Roman" w:hAnsi="Times New Roman" w:eastAsia="仿宋_GB2312"/>
                <w:iCs/>
                <w:color w:val="000000"/>
                <w:spacing w:val="-1"/>
                <w:sz w:val="24"/>
                <w:szCs w:val="24"/>
              </w:rPr>
              <w:t>……，Qn—每种危险物质的临界量，t。</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当Q＜1时，该项目环境风险潜势为1。</w:t>
            </w:r>
          </w:p>
          <w:p>
            <w:pPr>
              <w:spacing w:line="500" w:lineRule="exact"/>
              <w:ind w:firstLine="476" w:firstLineChars="200"/>
              <w:rPr>
                <w:rFonts w:ascii="Times New Roman" w:hAnsi="Times New Roman" w:eastAsia="仿宋_GB2312"/>
                <w:iCs/>
                <w:color w:val="000000"/>
                <w:spacing w:val="-1"/>
                <w:sz w:val="24"/>
                <w:szCs w:val="24"/>
              </w:rPr>
            </w:pPr>
            <w:r>
              <w:rPr>
                <w:rFonts w:ascii="Times New Roman" w:hAnsi="Times New Roman" w:eastAsia="仿宋_GB2312"/>
                <w:iCs/>
                <w:color w:val="000000"/>
                <w:spacing w:val="-1"/>
                <w:sz w:val="24"/>
                <w:szCs w:val="24"/>
              </w:rPr>
              <w:t>当Q≥1时，将Q值划分为：（1）1≤Q＜10；（2）10≤Q＜100；（3）Q≥100。</w:t>
            </w:r>
          </w:p>
          <w:p>
            <w:pPr>
              <w:spacing w:line="500" w:lineRule="exact"/>
              <w:ind w:firstLine="476" w:firstLineChars="200"/>
              <w:rPr>
                <w:rFonts w:ascii="Times New Roman" w:hAnsi="Times New Roman" w:eastAsia="仿宋_GB2312"/>
                <w:b/>
                <w:bCs/>
                <w:snapToGrid w:val="0"/>
                <w:color w:val="000000"/>
                <w:kern w:val="0"/>
                <w:sz w:val="24"/>
                <w:szCs w:val="24"/>
              </w:rPr>
            </w:pPr>
            <w:r>
              <w:rPr>
                <w:rFonts w:ascii="Times New Roman" w:hAnsi="Times New Roman" w:eastAsia="仿宋_GB2312"/>
                <w:iCs/>
                <w:color w:val="000000"/>
                <w:spacing w:val="-1"/>
                <w:sz w:val="24"/>
                <w:szCs w:val="24"/>
              </w:rPr>
              <w:t>对照《建设项目环境风险评价技术导则》（HJ 169-2018）附录B，本项目涉及的风险物质临界量见表7-20。</w:t>
            </w:r>
          </w:p>
          <w:p>
            <w:pPr>
              <w:adjustRightInd w:val="0"/>
              <w:snapToGrid w:val="0"/>
              <w:spacing w:line="480" w:lineRule="exact"/>
              <w:jc w:val="center"/>
              <w:rPr>
                <w:rFonts w:ascii="Times New Roman" w:hAnsi="Times New Roman" w:eastAsia="仿宋_GB2312"/>
                <w:b/>
                <w:snapToGrid w:val="0"/>
                <w:color w:val="000000"/>
                <w:kern w:val="0"/>
                <w:sz w:val="24"/>
                <w:szCs w:val="24"/>
              </w:rPr>
            </w:pPr>
            <w:r>
              <w:rPr>
                <w:rFonts w:ascii="Times New Roman" w:hAnsi="Times New Roman" w:eastAsia="仿宋_GB2312"/>
                <w:b/>
                <w:bCs/>
                <w:snapToGrid w:val="0"/>
                <w:color w:val="000000"/>
                <w:kern w:val="0"/>
                <w:sz w:val="24"/>
                <w:szCs w:val="24"/>
              </w:rPr>
              <w:t xml:space="preserve">表7-20 </w:t>
            </w:r>
            <w:r>
              <w:rPr>
                <w:rFonts w:ascii="Times New Roman" w:hAnsi="Times New Roman" w:eastAsia="仿宋_GB2312"/>
                <w:b/>
                <w:snapToGrid w:val="0"/>
                <w:color w:val="000000"/>
                <w:kern w:val="0"/>
                <w:sz w:val="24"/>
                <w:szCs w:val="24"/>
              </w:rPr>
              <w:t>建设项目Q值确定表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438"/>
              <w:gridCol w:w="1333"/>
              <w:gridCol w:w="1895"/>
              <w:gridCol w:w="1124"/>
              <w:gridCol w:w="1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序号</w:t>
                  </w:r>
                </w:p>
              </w:tc>
              <w:tc>
                <w:tcPr>
                  <w:tcW w:w="865"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危险物质名称</w:t>
                  </w:r>
                </w:p>
              </w:tc>
              <w:tc>
                <w:tcPr>
                  <w:tcW w:w="802"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CAS号</w:t>
                  </w:r>
                </w:p>
              </w:tc>
              <w:tc>
                <w:tcPr>
                  <w:tcW w:w="1140"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最大存在总量qn（t）</w:t>
                  </w:r>
                </w:p>
              </w:tc>
              <w:tc>
                <w:tcPr>
                  <w:tcW w:w="676"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临界量Qn（t）</w:t>
                  </w:r>
                </w:p>
              </w:tc>
              <w:tc>
                <w:tcPr>
                  <w:tcW w:w="1153"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w:t>
                  </w:r>
                </w:p>
              </w:tc>
              <w:tc>
                <w:tcPr>
                  <w:tcW w:w="865"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盐酸</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7647-01-0</w:t>
                  </w:r>
                </w:p>
              </w:tc>
              <w:tc>
                <w:tcPr>
                  <w:tcW w:w="1140"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eastAsia="仿宋_GB2312"/>
                      <w:color w:val="000000"/>
                      <w:szCs w:val="21"/>
                    </w:rPr>
                    <w:t>0.006</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7.5</w:t>
                  </w:r>
                </w:p>
              </w:tc>
              <w:tc>
                <w:tcPr>
                  <w:tcW w:w="1153" w:type="pct"/>
                  <w:shd w:val="clear" w:color="auto" w:fill="auto"/>
                  <w:vAlign w:val="center"/>
                </w:tcPr>
                <w:p>
                  <w:pPr>
                    <w:widowControl/>
                    <w:jc w:val="center"/>
                    <w:rPr>
                      <w:rFonts w:ascii="Times New Roman" w:hAnsi="Times New Roman" w:eastAsia="仿宋_GB2312"/>
                      <w:color w:val="000000"/>
                      <w:kern w:val="0"/>
                      <w:szCs w:val="21"/>
                    </w:rPr>
                  </w:pPr>
                  <w:r>
                    <w:rPr>
                      <w:rFonts w:ascii="Times New Roman" w:hAnsi="Times New Roman"/>
                      <w:szCs w:val="21"/>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w:t>
                  </w:r>
                </w:p>
              </w:tc>
              <w:tc>
                <w:tcPr>
                  <w:tcW w:w="865"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硝酸</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7697-37-2</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0.014</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7.5</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0.001866667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3</w:t>
                  </w:r>
                </w:p>
              </w:tc>
              <w:tc>
                <w:tcPr>
                  <w:tcW w:w="865"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硫酸</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7664-93-9</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0.036</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钼酸铵</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13106-76-8</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0.0008</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0.25</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6</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高氯酸[浓度</w:t>
                  </w:r>
                  <w:r>
                    <w:rPr>
                      <w:rFonts w:ascii="Times New Roman" w:hAnsi="Times New Roman" w:eastAsia="仿宋_GB2312"/>
                      <w:color w:val="000000" w:themeColor="text1"/>
                      <w:szCs w:val="21"/>
                      <w14:textFill>
                        <w14:solidFill>
                          <w14:schemeClr w14:val="tx1"/>
                        </w14:solidFill>
                      </w14:textFill>
                    </w:rPr>
                    <w:t>50~72%</w:t>
                  </w:r>
                  <w:r>
                    <w:rPr>
                      <w:rFonts w:ascii="Times New Roman" w:hAnsi="Times New Roman" w:eastAsia="仿宋_GB2312"/>
                      <w:color w:val="000000"/>
                      <w:szCs w:val="21"/>
                    </w:rPr>
                    <w:t>]</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7601-90-3</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0.005</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氢氟酸</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7664-39-3</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0.0074</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8</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硫脲</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62-56-6</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0.0023</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9</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硼氢化钾</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13762-51-1</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0.0006</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亚硝酸钠</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7632-00-0</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0.0015</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11</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重铬酸钾</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7778-50-9</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0.00001</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0.25</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12</w:t>
                  </w:r>
                </w:p>
              </w:tc>
              <w:tc>
                <w:tcPr>
                  <w:tcW w:w="865" w:type="pct"/>
                  <w:shd w:val="clear" w:color="auto" w:fill="auto"/>
                  <w:vAlign w:val="center"/>
                </w:tcPr>
                <w:p>
                  <w:pPr>
                    <w:adjustRightInd w:val="0"/>
                    <w:snapToGrid w:val="0"/>
                    <w:jc w:val="center"/>
                    <w:rPr>
                      <w:rFonts w:ascii="Times New Roman" w:hAnsi="Times New Roman" w:eastAsia="仿宋_GB2312"/>
                      <w:color w:val="000000"/>
                      <w:kern w:val="0"/>
                      <w:szCs w:val="21"/>
                    </w:rPr>
                  </w:pPr>
                  <w:r>
                    <w:rPr>
                      <w:rFonts w:ascii="Times New Roman" w:hAnsi="Times New Roman" w:eastAsia="仿宋_GB2312"/>
                      <w:color w:val="000000"/>
                      <w:szCs w:val="21"/>
                    </w:rPr>
                    <w:t>四氯乙烯</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127-18-4</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0.012</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13</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三氯甲烷</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67-66-3</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0.00882</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0.000882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14</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正己烷</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110-54-3</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0.0224</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0.00224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15</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丙酮</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67-64-1</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0.01264</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0.001264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16</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kern w:val="0"/>
                      <w:szCs w:val="21"/>
                    </w:rPr>
                    <w:t>甲醇</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67-56-1</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0.025</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17</w:t>
                  </w:r>
                </w:p>
              </w:tc>
              <w:tc>
                <w:tcPr>
                  <w:tcW w:w="865" w:type="pct"/>
                  <w:shd w:val="clear" w:color="auto" w:fill="auto"/>
                  <w:vAlign w:val="center"/>
                </w:tcPr>
                <w:p>
                  <w:pPr>
                    <w:adjustRightInd w:val="0"/>
                    <w:snapToGrid w:val="0"/>
                    <w:jc w:val="center"/>
                    <w:rPr>
                      <w:rFonts w:ascii="Times New Roman" w:hAnsi="Times New Roman" w:eastAsia="仿宋_GB2312"/>
                      <w:color w:val="000000"/>
                      <w:kern w:val="0"/>
                      <w:szCs w:val="21"/>
                    </w:rPr>
                  </w:pPr>
                  <w:r>
                    <w:rPr>
                      <w:rFonts w:ascii="Times New Roman" w:hAnsi="Times New Roman" w:eastAsia="仿宋_GB2312"/>
                      <w:color w:val="000000"/>
                      <w:szCs w:val="21"/>
                    </w:rPr>
                    <w:t>乙腈</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75-05-8</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0.03</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18</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乙炔</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74-86-2</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0.0000364</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0.00000364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19</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二氯甲烷</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75-09-2</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0.0106</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20</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乙酸乙酯</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141-78-6</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0.0036</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21</w:t>
                  </w:r>
                </w:p>
              </w:tc>
              <w:tc>
                <w:tcPr>
                  <w:tcW w:w="865"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危险废物</w:t>
                  </w:r>
                </w:p>
              </w:tc>
              <w:tc>
                <w:tcPr>
                  <w:tcW w:w="80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c>
                <w:tcPr>
                  <w:tcW w:w="1140"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4.3</w:t>
                  </w:r>
                </w:p>
              </w:tc>
              <w:tc>
                <w:tcPr>
                  <w:tcW w:w="676"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50</w:t>
                  </w:r>
                </w:p>
              </w:tc>
              <w:tc>
                <w:tcPr>
                  <w:tcW w:w="1153" w:type="pct"/>
                  <w:shd w:val="clear" w:color="auto" w:fill="auto"/>
                  <w:vAlign w:val="center"/>
                </w:tcPr>
                <w:p>
                  <w:pPr>
                    <w:jc w:val="center"/>
                    <w:rPr>
                      <w:rFonts w:ascii="Times New Roman" w:hAnsi="Times New Roman" w:eastAsia="仿宋_GB2312"/>
                      <w:color w:val="000000"/>
                      <w:szCs w:val="21"/>
                    </w:rPr>
                  </w:pPr>
                  <w:r>
                    <w:rPr>
                      <w:rFonts w:ascii="Times New Roman" w:hAnsi="Times New Roman"/>
                      <w:szCs w:val="21"/>
                    </w:rPr>
                    <w:t>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7" w:type="pct"/>
                  <w:gridSpan w:val="5"/>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项目Q值</w:t>
                  </w:r>
                </w:p>
              </w:tc>
              <w:tc>
                <w:tcPr>
                  <w:tcW w:w="1153" w:type="pct"/>
                  <w:shd w:val="clear" w:color="auto" w:fill="auto"/>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0.110584</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根据计算，本项目Q&lt;1，该项目环境风险潜势为Ⅰ。</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2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②</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 xml:space="preserve"> 评价工作等级划分</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本项目风险潜势为Ⅰ，判定依据见下表，最终确定本项目仅需简单分析。</w:t>
            </w:r>
          </w:p>
          <w:p>
            <w:pPr>
              <w:adjustRightInd w:val="0"/>
              <w:snapToGrid w:val="0"/>
              <w:spacing w:line="480" w:lineRule="exact"/>
              <w:jc w:val="center"/>
              <w:rPr>
                <w:rFonts w:ascii="Times New Roman" w:hAnsi="Times New Roman" w:eastAsia="仿宋_GB2312"/>
                <w:b/>
                <w:snapToGrid w:val="0"/>
                <w:color w:val="000000"/>
                <w:kern w:val="0"/>
                <w:sz w:val="24"/>
                <w:szCs w:val="24"/>
              </w:rPr>
            </w:pPr>
            <w:r>
              <w:rPr>
                <w:rFonts w:ascii="Times New Roman" w:hAnsi="Times New Roman" w:eastAsia="仿宋_GB2312"/>
                <w:b/>
                <w:bCs/>
                <w:snapToGrid w:val="0"/>
                <w:color w:val="000000"/>
                <w:kern w:val="0"/>
                <w:sz w:val="24"/>
                <w:szCs w:val="24"/>
              </w:rPr>
              <w:t xml:space="preserve">表7-21 </w:t>
            </w:r>
            <w:r>
              <w:rPr>
                <w:rFonts w:ascii="Times New Roman" w:hAnsi="Times New Roman" w:eastAsia="仿宋_GB2312"/>
                <w:b/>
                <w:snapToGrid w:val="0"/>
                <w:color w:val="000000"/>
                <w:kern w:val="0"/>
                <w:sz w:val="24"/>
                <w:szCs w:val="24"/>
              </w:rPr>
              <w:t>评价工作等级划分</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1450"/>
              <w:gridCol w:w="1581"/>
              <w:gridCol w:w="1581"/>
              <w:gridCol w:w="1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0"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环境风险潜势</w:t>
                  </w:r>
                </w:p>
              </w:tc>
              <w:tc>
                <w:tcPr>
                  <w:tcW w:w="87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fldChar w:fldCharType="begin"/>
                  </w:r>
                  <w:r>
                    <w:rPr>
                      <w:rFonts w:ascii="Times New Roman" w:hAnsi="Times New Roman" w:eastAsia="仿宋_GB2312"/>
                      <w:snapToGrid w:val="0"/>
                      <w:color w:val="000000"/>
                      <w:kern w:val="0"/>
                      <w:szCs w:val="21"/>
                    </w:rPr>
                    <w:instrText xml:space="preserve"> = 4 \* ROMAN </w:instrText>
                  </w:r>
                  <w:r>
                    <w:rPr>
                      <w:rFonts w:ascii="Times New Roman" w:hAnsi="Times New Roman" w:eastAsia="仿宋_GB2312"/>
                      <w:snapToGrid w:val="0"/>
                      <w:color w:val="000000"/>
                      <w:kern w:val="0"/>
                      <w:szCs w:val="21"/>
                    </w:rPr>
                    <w:fldChar w:fldCharType="separate"/>
                  </w:r>
                  <w:r>
                    <w:rPr>
                      <w:rFonts w:ascii="Times New Roman" w:hAnsi="Times New Roman" w:eastAsia="仿宋_GB2312"/>
                      <w:snapToGrid w:val="0"/>
                      <w:color w:val="000000"/>
                      <w:kern w:val="0"/>
                      <w:szCs w:val="21"/>
                    </w:rPr>
                    <w:t>IV</w:t>
                  </w:r>
                  <w:r>
                    <w:rPr>
                      <w:rFonts w:ascii="Times New Roman" w:hAnsi="Times New Roman" w:eastAsia="仿宋_GB2312"/>
                      <w:snapToGrid w:val="0"/>
                      <w:color w:val="000000"/>
                      <w:kern w:val="0"/>
                      <w:szCs w:val="21"/>
                    </w:rPr>
                    <w:fldChar w:fldCharType="end"/>
                  </w:r>
                  <w:r>
                    <w:rPr>
                      <w:rFonts w:ascii="Times New Roman" w:hAnsi="Times New Roman" w:eastAsia="仿宋_GB2312"/>
                      <w:snapToGrid w:val="0"/>
                      <w:color w:val="000000"/>
                      <w:kern w:val="0"/>
                      <w:szCs w:val="21"/>
                    </w:rPr>
                    <w:t>、</w:t>
                  </w:r>
                  <w:r>
                    <w:rPr>
                      <w:rFonts w:ascii="Times New Roman" w:hAnsi="Times New Roman" w:eastAsia="仿宋_GB2312"/>
                      <w:snapToGrid w:val="0"/>
                      <w:color w:val="000000"/>
                      <w:kern w:val="0"/>
                      <w:szCs w:val="21"/>
                    </w:rPr>
                    <w:fldChar w:fldCharType="begin"/>
                  </w:r>
                  <w:r>
                    <w:rPr>
                      <w:rFonts w:ascii="Times New Roman" w:hAnsi="Times New Roman" w:eastAsia="仿宋_GB2312"/>
                      <w:snapToGrid w:val="0"/>
                      <w:color w:val="000000"/>
                      <w:kern w:val="0"/>
                      <w:szCs w:val="21"/>
                    </w:rPr>
                    <w:instrText xml:space="preserve"> = 4 \* ROMAN </w:instrText>
                  </w:r>
                  <w:r>
                    <w:rPr>
                      <w:rFonts w:ascii="Times New Roman" w:hAnsi="Times New Roman" w:eastAsia="仿宋_GB2312"/>
                      <w:snapToGrid w:val="0"/>
                      <w:color w:val="000000"/>
                      <w:kern w:val="0"/>
                      <w:szCs w:val="21"/>
                    </w:rPr>
                    <w:fldChar w:fldCharType="separate"/>
                  </w:r>
                  <w:r>
                    <w:rPr>
                      <w:rFonts w:ascii="Times New Roman" w:hAnsi="Times New Roman" w:eastAsia="仿宋_GB2312"/>
                      <w:snapToGrid w:val="0"/>
                      <w:color w:val="000000"/>
                      <w:kern w:val="0"/>
                      <w:szCs w:val="21"/>
                    </w:rPr>
                    <w:t>IV</w:t>
                  </w:r>
                  <w:r>
                    <w:rPr>
                      <w:rFonts w:ascii="Times New Roman" w:hAnsi="Times New Roman" w:eastAsia="仿宋_GB2312"/>
                      <w:snapToGrid w:val="0"/>
                      <w:color w:val="000000"/>
                      <w:kern w:val="0"/>
                      <w:szCs w:val="21"/>
                    </w:rPr>
                    <w:fldChar w:fldCharType="end"/>
                  </w:r>
                  <w:r>
                    <w:rPr>
                      <w:rFonts w:ascii="Times New Roman" w:hAnsi="Times New Roman" w:eastAsia="仿宋_GB2312"/>
                      <w:snapToGrid w:val="0"/>
                      <w:color w:val="000000"/>
                      <w:kern w:val="0"/>
                      <w:szCs w:val="21"/>
                      <w:vertAlign w:val="superscript"/>
                    </w:rPr>
                    <w:t>+</w:t>
                  </w:r>
                </w:p>
              </w:tc>
              <w:tc>
                <w:tcPr>
                  <w:tcW w:w="9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Ⅲ</w:t>
                  </w:r>
                </w:p>
              </w:tc>
              <w:tc>
                <w:tcPr>
                  <w:tcW w:w="9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fldChar w:fldCharType="begin"/>
                  </w:r>
                  <w:r>
                    <w:rPr>
                      <w:rFonts w:ascii="Times New Roman" w:hAnsi="Times New Roman" w:eastAsia="仿宋_GB2312"/>
                      <w:snapToGrid w:val="0"/>
                      <w:color w:val="000000"/>
                      <w:kern w:val="0"/>
                      <w:szCs w:val="21"/>
                    </w:rPr>
                    <w:instrText xml:space="preserve"> = 2 \* ROMAN </w:instrText>
                  </w:r>
                  <w:r>
                    <w:rPr>
                      <w:rFonts w:ascii="Times New Roman" w:hAnsi="Times New Roman" w:eastAsia="仿宋_GB2312"/>
                      <w:snapToGrid w:val="0"/>
                      <w:color w:val="000000"/>
                      <w:kern w:val="0"/>
                      <w:szCs w:val="21"/>
                    </w:rPr>
                    <w:fldChar w:fldCharType="separate"/>
                  </w:r>
                  <w:r>
                    <w:rPr>
                      <w:rFonts w:ascii="Times New Roman" w:hAnsi="Times New Roman" w:eastAsia="仿宋_GB2312"/>
                      <w:snapToGrid w:val="0"/>
                      <w:color w:val="000000"/>
                      <w:kern w:val="0"/>
                      <w:szCs w:val="21"/>
                    </w:rPr>
                    <w:t>II</w:t>
                  </w:r>
                  <w:r>
                    <w:rPr>
                      <w:rFonts w:ascii="Times New Roman" w:hAnsi="Times New Roman" w:eastAsia="仿宋_GB2312"/>
                      <w:snapToGrid w:val="0"/>
                      <w:color w:val="000000"/>
                      <w:kern w:val="0"/>
                      <w:szCs w:val="21"/>
                    </w:rPr>
                    <w:fldChar w:fldCharType="end"/>
                  </w:r>
                </w:p>
              </w:tc>
              <w:tc>
                <w:tcPr>
                  <w:tcW w:w="926" w:type="pct"/>
                  <w:tcBorders>
                    <w:top w:val="single" w:color="auto" w:sz="12" w:space="0"/>
                    <w:bottom w:val="single" w:color="auto" w:sz="4" w:space="0"/>
                  </w:tcBorders>
                  <w:shd w:val="clear" w:color="auto" w:fill="D9D9D9"/>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fldChar w:fldCharType="begin"/>
                  </w:r>
                  <w:r>
                    <w:rPr>
                      <w:rFonts w:ascii="Times New Roman" w:hAnsi="Times New Roman" w:eastAsia="仿宋_GB2312"/>
                      <w:snapToGrid w:val="0"/>
                      <w:color w:val="000000"/>
                      <w:kern w:val="0"/>
                      <w:szCs w:val="21"/>
                    </w:rPr>
                    <w:instrText xml:space="preserve"> = 1 \* ROMAN </w:instrText>
                  </w:r>
                  <w:r>
                    <w:rPr>
                      <w:rFonts w:ascii="Times New Roman" w:hAnsi="Times New Roman" w:eastAsia="仿宋_GB2312"/>
                      <w:snapToGrid w:val="0"/>
                      <w:color w:val="000000"/>
                      <w:kern w:val="0"/>
                      <w:szCs w:val="21"/>
                    </w:rPr>
                    <w:fldChar w:fldCharType="separate"/>
                  </w:r>
                  <w:r>
                    <w:rPr>
                      <w:rFonts w:ascii="Times New Roman" w:hAnsi="Times New Roman" w:eastAsia="仿宋_GB2312"/>
                      <w:snapToGrid w:val="0"/>
                      <w:color w:val="000000"/>
                      <w:kern w:val="0"/>
                      <w:szCs w:val="21"/>
                    </w:rPr>
                    <w:t>I</w:t>
                  </w:r>
                  <w:r>
                    <w:rPr>
                      <w:rFonts w:ascii="Times New Roman" w:hAnsi="Times New Roman" w:eastAsia="仿宋_GB2312"/>
                      <w:snapToGrid w:val="0"/>
                      <w:color w:val="000000"/>
                      <w:kern w:val="0"/>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0"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评价工作等级</w:t>
                  </w:r>
                </w:p>
              </w:tc>
              <w:tc>
                <w:tcPr>
                  <w:tcW w:w="87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一</w:t>
                  </w:r>
                </w:p>
              </w:tc>
              <w:tc>
                <w:tcPr>
                  <w:tcW w:w="9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二</w:t>
                  </w:r>
                </w:p>
              </w:tc>
              <w:tc>
                <w:tcPr>
                  <w:tcW w:w="9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三</w:t>
                  </w:r>
                </w:p>
              </w:tc>
              <w:tc>
                <w:tcPr>
                  <w:tcW w:w="926" w:type="pct"/>
                  <w:tcBorders>
                    <w:top w:val="single" w:color="auto" w:sz="4" w:space="0"/>
                    <w:bottom w:val="single" w:color="auto" w:sz="12" w:space="0"/>
                  </w:tcBorders>
                  <w:shd w:val="clear" w:color="auto" w:fill="D9D9D9"/>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简单分析</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3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③</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 xml:space="preserve"> 环境敏感目标概况</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本项目周围敏感目标分布情况见附图3。</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4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④</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 xml:space="preserve"> 环境风险识别</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本项目危险物质主要包括各类试剂和实验废液，其产生的环境风险主要为上述危险物质的泄漏。</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1 \* alphabetic </w:instrText>
            </w:r>
            <w:r>
              <w:rPr>
                <w:rFonts w:ascii="Times New Roman" w:hAnsi="Times New Roman" w:eastAsia="仿宋_GB2312"/>
                <w:snapToGrid w:val="0"/>
                <w:color w:val="000000"/>
                <w:kern w:val="0"/>
                <w:sz w:val="24"/>
                <w:szCs w:val="24"/>
              </w:rPr>
              <w:fldChar w:fldCharType="separate"/>
            </w:r>
            <w:r>
              <w:rPr>
                <w:rFonts w:ascii="Times New Roman" w:hAnsi="Times New Roman" w:eastAsia="仿宋_GB2312"/>
                <w:snapToGrid w:val="0"/>
                <w:color w:val="000000"/>
                <w:kern w:val="0"/>
                <w:sz w:val="24"/>
                <w:szCs w:val="24"/>
              </w:rPr>
              <w:t>a</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、因操作失误，实验设备故障引起实验物料</w:t>
            </w:r>
            <w:r>
              <w:rPr>
                <w:rFonts w:hint="eastAsia" w:ascii="Times New Roman" w:hAnsi="Times New Roman" w:eastAsia="仿宋_GB2312"/>
                <w:snapToGrid w:val="0"/>
                <w:color w:val="000000"/>
                <w:kern w:val="0"/>
                <w:sz w:val="24"/>
                <w:szCs w:val="24"/>
              </w:rPr>
              <w:t>、废液</w:t>
            </w:r>
            <w:r>
              <w:rPr>
                <w:rFonts w:ascii="Times New Roman" w:hAnsi="Times New Roman" w:eastAsia="仿宋_GB2312"/>
                <w:snapToGrid w:val="0"/>
                <w:color w:val="000000"/>
                <w:kern w:val="0"/>
                <w:sz w:val="24"/>
                <w:szCs w:val="24"/>
              </w:rPr>
              <w:t>等</w:t>
            </w:r>
            <w:r>
              <w:rPr>
                <w:rFonts w:hint="eastAsia" w:ascii="Times New Roman" w:hAnsi="Times New Roman" w:eastAsia="仿宋_GB2312"/>
                <w:snapToGrid w:val="0"/>
                <w:color w:val="000000"/>
                <w:kern w:val="0"/>
                <w:sz w:val="24"/>
                <w:szCs w:val="24"/>
              </w:rPr>
              <w:t>进入下水道</w:t>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物料和废液可能含有微量重金属</w:t>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因此项目需设置手动监测装置，同时废水排放口设置截止阀，一旦超标关闭阀门，杜绝废水外排。</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2 \* alphabetic </w:instrText>
            </w:r>
            <w:r>
              <w:rPr>
                <w:rFonts w:ascii="Times New Roman" w:hAnsi="Times New Roman" w:eastAsia="仿宋_GB2312"/>
                <w:snapToGrid w:val="0"/>
                <w:color w:val="000000"/>
                <w:kern w:val="0"/>
                <w:sz w:val="24"/>
                <w:szCs w:val="24"/>
              </w:rPr>
              <w:fldChar w:fldCharType="separate"/>
            </w:r>
            <w:r>
              <w:rPr>
                <w:rFonts w:ascii="Times New Roman" w:hAnsi="Times New Roman" w:eastAsia="仿宋_GB2312"/>
                <w:snapToGrid w:val="0"/>
                <w:color w:val="000000"/>
                <w:kern w:val="0"/>
                <w:sz w:val="24"/>
                <w:szCs w:val="24"/>
              </w:rPr>
              <w:t>b</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实验室危险化学品在存储过程中未按照要求进行分类存储和管理，导致可燃及易燃化学品发生泄漏，引发火灾及次生污染。</w:t>
            </w:r>
          </w:p>
          <w:p>
            <w:pPr>
              <w:adjustRightInd w:val="0"/>
              <w:snapToGrid w:val="0"/>
              <w:spacing w:line="500" w:lineRule="exact"/>
              <w:ind w:firstLine="480" w:firstLineChars="200"/>
            </w:pPr>
            <w:r>
              <w:rPr>
                <w:rFonts w:hint="eastAsia" w:ascii="Times New Roman" w:hAnsi="Times New Roman" w:eastAsia="仿宋_GB2312"/>
                <w:snapToGrid w:val="0"/>
                <w:color w:val="000000"/>
                <w:kern w:val="0"/>
                <w:sz w:val="24"/>
                <w:szCs w:val="24"/>
              </w:rPr>
              <w:t>c</w:t>
            </w:r>
            <w:r>
              <w:rPr>
                <w:rFonts w:ascii="Times New Roman" w:hAnsi="Times New Roman" w:eastAsia="仿宋_GB2312"/>
                <w:snapToGrid w:val="0"/>
                <w:color w:val="000000"/>
                <w:kern w:val="0"/>
                <w:sz w:val="24"/>
                <w:szCs w:val="24"/>
              </w:rPr>
              <w:t>、</w:t>
            </w:r>
            <w:r>
              <w:rPr>
                <w:rFonts w:hint="eastAsia" w:ascii="Times New Roman" w:hAnsi="Times New Roman" w:eastAsia="仿宋_GB2312"/>
                <w:snapToGrid w:val="0"/>
                <w:color w:val="000000"/>
                <w:kern w:val="0"/>
                <w:sz w:val="24"/>
                <w:szCs w:val="24"/>
              </w:rPr>
              <w:t>涉重实验（尤其是涉及到汞、砷、铬、镉、铅等重金属的检测实验）或其它有毒有害物质实验过程中，由于实验操作人员疏忽或缺乏相关废液收集处理意识，将含有相关重金属或有毒有害物质的废液及样品直接倾倒入下水道，对外环境造成污染，应加强对实验操作人员的环境安全教育。</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4 \* alphabetic </w:instrText>
            </w:r>
            <w:r>
              <w:rPr>
                <w:rFonts w:ascii="Times New Roman" w:hAnsi="Times New Roman" w:eastAsia="仿宋_GB2312"/>
                <w:snapToGrid w:val="0"/>
                <w:color w:val="000000"/>
                <w:kern w:val="0"/>
                <w:sz w:val="24"/>
                <w:szCs w:val="24"/>
              </w:rPr>
              <w:fldChar w:fldCharType="separate"/>
            </w:r>
            <w:r>
              <w:rPr>
                <w:rFonts w:ascii="Times New Roman" w:hAnsi="Times New Roman" w:eastAsia="仿宋_GB2312"/>
                <w:snapToGrid w:val="0"/>
                <w:color w:val="000000"/>
                <w:kern w:val="0"/>
                <w:sz w:val="24"/>
                <w:szCs w:val="24"/>
              </w:rPr>
              <w:t>d</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、危险废物泄漏。危险废物中包括实验废液、清洗废液等。本项目危险废物的主要风险影响为危险废物泄漏。建设项目产生的实验废液、清洗废液储存在废液桶中，并置于</w:t>
            </w:r>
            <w:r>
              <w:rPr>
                <w:rFonts w:hint="eastAsia" w:ascii="Times New Roman" w:hAnsi="Times New Roman" w:eastAsia="仿宋_GB2312"/>
                <w:snapToGrid w:val="0"/>
                <w:color w:val="000000"/>
                <w:kern w:val="0"/>
                <w:sz w:val="24"/>
                <w:szCs w:val="24"/>
              </w:rPr>
              <w:t>托盘上</w:t>
            </w:r>
            <w:r>
              <w:rPr>
                <w:rFonts w:ascii="Times New Roman" w:hAnsi="Times New Roman" w:eastAsia="仿宋_GB2312"/>
                <w:snapToGrid w:val="0"/>
                <w:color w:val="000000"/>
                <w:kern w:val="0"/>
                <w:sz w:val="24"/>
                <w:szCs w:val="24"/>
              </w:rPr>
              <w:t>，当事故时，液体可流入</w:t>
            </w:r>
            <w:r>
              <w:rPr>
                <w:rFonts w:hint="eastAsia" w:ascii="Times New Roman" w:hAnsi="Times New Roman" w:eastAsia="仿宋_GB2312"/>
                <w:snapToGrid w:val="0"/>
                <w:color w:val="000000"/>
                <w:kern w:val="0"/>
                <w:sz w:val="24"/>
                <w:szCs w:val="24"/>
              </w:rPr>
              <w:t>托盘收集</w:t>
            </w:r>
            <w:r>
              <w:rPr>
                <w:rFonts w:ascii="Times New Roman" w:hAnsi="Times New Roman" w:eastAsia="仿宋_GB2312"/>
                <w:snapToGrid w:val="0"/>
                <w:color w:val="000000"/>
                <w:kern w:val="0"/>
                <w:sz w:val="24"/>
                <w:szCs w:val="24"/>
              </w:rPr>
              <w:t>，不会对下层建筑以及土壤、地下水造成影响。危险废物产生量小，密封保存，且通风条件良好，建设项目危险废物泄漏对内部和周围大气环境影响小。</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5 \* alphabetic </w:instrText>
            </w:r>
            <w:r>
              <w:rPr>
                <w:rFonts w:ascii="Times New Roman" w:hAnsi="Times New Roman" w:eastAsia="仿宋_GB2312"/>
                <w:snapToGrid w:val="0"/>
                <w:color w:val="000000"/>
                <w:kern w:val="0"/>
                <w:sz w:val="24"/>
                <w:szCs w:val="24"/>
              </w:rPr>
              <w:fldChar w:fldCharType="separate"/>
            </w:r>
            <w:r>
              <w:rPr>
                <w:rFonts w:ascii="Times New Roman" w:hAnsi="Times New Roman" w:eastAsia="仿宋_GB2312"/>
                <w:snapToGrid w:val="0"/>
                <w:color w:val="000000"/>
                <w:kern w:val="0"/>
                <w:sz w:val="24"/>
                <w:szCs w:val="24"/>
              </w:rPr>
              <w:t>e</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、气瓶爆炸。实验室一层、三层设有乙炔及氧气防爆气瓶柜，气瓶老化或存在缺陷，可能造成气体泄漏，遇火花而引起爆炸</w:t>
            </w:r>
            <w:r>
              <w:rPr>
                <w:rFonts w:hint="eastAsia" w:ascii="Times New Roman" w:hAnsi="Times New Roman" w:eastAsia="仿宋_GB2312"/>
                <w:snapToGrid w:val="0"/>
                <w:color w:val="000000"/>
                <w:kern w:val="0"/>
                <w:sz w:val="24"/>
                <w:szCs w:val="24"/>
              </w:rPr>
              <w:t>，从而造成环境次生污染</w:t>
            </w:r>
            <w:r>
              <w:rPr>
                <w:rFonts w:ascii="Times New Roman" w:hAnsi="Times New Roman" w:eastAsia="仿宋_GB2312"/>
                <w:snapToGrid w:val="0"/>
                <w:color w:val="000000"/>
                <w:kern w:val="0"/>
                <w:sz w:val="24"/>
                <w:szCs w:val="24"/>
              </w:rPr>
              <w:t>。</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5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⑤</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 xml:space="preserve"> 环境风险分析</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根据可能发生突发环境事件的情况下，</w:t>
            </w:r>
            <w:r>
              <w:rPr>
                <w:rFonts w:hint="eastAsia" w:ascii="Times New Roman" w:hAnsi="Times New Roman" w:eastAsia="仿宋_GB2312"/>
                <w:snapToGrid w:val="0"/>
                <w:color w:val="000000"/>
                <w:kern w:val="0"/>
                <w:sz w:val="24"/>
                <w:szCs w:val="24"/>
              </w:rPr>
              <w:t>环境风险识别汇总表</w:t>
            </w:r>
            <w:r>
              <w:rPr>
                <w:rFonts w:ascii="Times New Roman" w:hAnsi="Times New Roman" w:eastAsia="仿宋_GB2312"/>
                <w:snapToGrid w:val="0"/>
                <w:color w:val="000000"/>
                <w:kern w:val="0"/>
                <w:sz w:val="24"/>
                <w:szCs w:val="24"/>
              </w:rPr>
              <w:t>如表7-22所示。</w:t>
            </w:r>
          </w:p>
          <w:p>
            <w:pPr>
              <w:adjustRightInd w:val="0"/>
              <w:snapToGrid w:val="0"/>
              <w:spacing w:line="480" w:lineRule="exact"/>
              <w:ind w:firstLine="482" w:firstLineChars="200"/>
              <w:jc w:val="center"/>
              <w:rPr>
                <w:rFonts w:ascii="Times New Roman" w:hAnsi="Times New Roman" w:eastAsia="仿宋_GB2312"/>
                <w:b/>
                <w:kern w:val="0"/>
                <w:sz w:val="24"/>
              </w:rPr>
            </w:pPr>
          </w:p>
          <w:p>
            <w:pPr>
              <w:adjustRightInd w:val="0"/>
              <w:snapToGrid w:val="0"/>
              <w:spacing w:line="480" w:lineRule="exact"/>
              <w:ind w:firstLine="482" w:firstLineChars="200"/>
              <w:jc w:val="center"/>
              <w:rPr>
                <w:rFonts w:ascii="Times New Roman" w:hAnsi="Times New Roman" w:eastAsia="仿宋_GB2312"/>
                <w:b/>
                <w:kern w:val="0"/>
                <w:sz w:val="24"/>
              </w:rPr>
            </w:pPr>
          </w:p>
          <w:p>
            <w:pPr>
              <w:adjustRightInd w:val="0"/>
              <w:snapToGrid w:val="0"/>
              <w:spacing w:line="480" w:lineRule="exact"/>
              <w:ind w:firstLine="482" w:firstLineChars="200"/>
              <w:jc w:val="center"/>
              <w:rPr>
                <w:rFonts w:ascii="Times New Roman" w:hAnsi="Times New Roman" w:eastAsia="仿宋_GB2312"/>
                <w:b/>
                <w:kern w:val="0"/>
                <w:sz w:val="24"/>
              </w:rPr>
            </w:pPr>
          </w:p>
          <w:p>
            <w:pPr>
              <w:adjustRightInd w:val="0"/>
              <w:snapToGrid w:val="0"/>
              <w:spacing w:line="500" w:lineRule="exact"/>
            </w:pPr>
          </w:p>
          <w:p>
            <w:pPr>
              <w:adjustRightInd w:val="0"/>
              <w:snapToGrid w:val="0"/>
              <w:spacing w:line="480" w:lineRule="exact"/>
              <w:ind w:firstLine="482" w:firstLineChars="200"/>
              <w:jc w:val="center"/>
              <w:rPr>
                <w:rFonts w:ascii="Times New Roman" w:hAnsi="Times New Roman" w:eastAsia="仿宋_GB2312"/>
                <w:snapToGrid w:val="0"/>
                <w:color w:val="000000"/>
                <w:kern w:val="0"/>
                <w:sz w:val="24"/>
                <w:szCs w:val="24"/>
              </w:rPr>
            </w:pPr>
            <w:r>
              <w:rPr>
                <w:rFonts w:ascii="Times New Roman" w:hAnsi="Times New Roman" w:eastAsia="仿宋_GB2312"/>
                <w:b/>
                <w:kern w:val="0"/>
                <w:sz w:val="24"/>
              </w:rPr>
              <w:t>表7-22 项目环境风险事故时各环境要素危害后果一览表</w:t>
            </w:r>
          </w:p>
          <w:tbl>
            <w:tblPr>
              <w:tblStyle w:val="38"/>
              <w:tblW w:w="5000" w:type="pct"/>
              <w:jc w:val="center"/>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5"/>
              <w:gridCol w:w="724"/>
              <w:gridCol w:w="442"/>
              <w:gridCol w:w="1070"/>
              <w:gridCol w:w="2167"/>
              <w:gridCol w:w="1687"/>
              <w:gridCol w:w="1663"/>
            </w:tblGrid>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0" w:hRule="atLeast"/>
                <w:tblHeader/>
                <w:jc w:val="center"/>
              </w:trPr>
              <w:tc>
                <w:tcPr>
                  <w:tcW w:w="334" w:type="pct"/>
                  <w:vMerge w:val="restart"/>
                  <w:tcBorders>
                    <w:left w:val="nil"/>
                  </w:tcBorders>
                  <w:vAlign w:val="center"/>
                </w:tcPr>
                <w:p>
                  <w:pPr>
                    <w:adjustRightInd w:val="0"/>
                    <w:snapToGrid w:val="0"/>
                    <w:jc w:val="center"/>
                    <w:rPr>
                      <w:rFonts w:ascii="Times New Roman" w:hAnsi="Times New Roman" w:eastAsia="仿宋_GB2312"/>
                      <w:b/>
                      <w:bCs/>
                      <w:kern w:val="0"/>
                      <w:szCs w:val="21"/>
                    </w:rPr>
                  </w:pPr>
                  <w:r>
                    <w:rPr>
                      <w:rFonts w:ascii="Times New Roman" w:hAnsi="Times New Roman" w:eastAsia="仿宋_GB2312"/>
                      <w:b/>
                      <w:bCs/>
                      <w:kern w:val="0"/>
                      <w:szCs w:val="21"/>
                    </w:rPr>
                    <w:t>环境风险类型</w:t>
                  </w:r>
                </w:p>
              </w:tc>
              <w:tc>
                <w:tcPr>
                  <w:tcW w:w="436" w:type="pct"/>
                  <w:vMerge w:val="restart"/>
                  <w:vAlign w:val="center"/>
                </w:tcPr>
                <w:p>
                  <w:pPr>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危险物质名称</w:t>
                  </w:r>
                </w:p>
              </w:tc>
              <w:tc>
                <w:tcPr>
                  <w:tcW w:w="266" w:type="pct"/>
                  <w:vMerge w:val="restart"/>
                  <w:vAlign w:val="center"/>
                </w:tcPr>
                <w:p>
                  <w:pPr>
                    <w:widowControl/>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事故情形</w:t>
                  </w:r>
                </w:p>
              </w:tc>
              <w:tc>
                <w:tcPr>
                  <w:tcW w:w="644" w:type="pct"/>
                  <w:vMerge w:val="restart"/>
                  <w:vAlign w:val="center"/>
                </w:tcPr>
                <w:p>
                  <w:pPr>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伴生和次生事故产物</w:t>
                  </w:r>
                </w:p>
              </w:tc>
              <w:tc>
                <w:tcPr>
                  <w:tcW w:w="3320" w:type="pct"/>
                  <w:gridSpan w:val="3"/>
                  <w:vAlign w:val="center"/>
                </w:tcPr>
                <w:p>
                  <w:pPr>
                    <w:widowControl/>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环境危害后果</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0" w:hRule="atLeast"/>
                <w:tblHeader/>
                <w:jc w:val="center"/>
              </w:trPr>
              <w:tc>
                <w:tcPr>
                  <w:tcW w:w="334" w:type="pct"/>
                  <w:vMerge w:val="continue"/>
                  <w:tcBorders>
                    <w:left w:val="nil"/>
                  </w:tcBorders>
                  <w:vAlign w:val="center"/>
                </w:tcPr>
                <w:p>
                  <w:pPr>
                    <w:widowControl/>
                    <w:jc w:val="left"/>
                    <w:rPr>
                      <w:rFonts w:ascii="Times New Roman" w:hAnsi="Times New Roman" w:eastAsia="仿宋_GB2312"/>
                      <w:b/>
                      <w:bCs/>
                      <w:kern w:val="0"/>
                      <w:szCs w:val="21"/>
                    </w:rPr>
                  </w:pPr>
                </w:p>
              </w:tc>
              <w:tc>
                <w:tcPr>
                  <w:tcW w:w="436" w:type="pct"/>
                  <w:vMerge w:val="continue"/>
                  <w:vAlign w:val="center"/>
                </w:tcPr>
                <w:p>
                  <w:pPr>
                    <w:widowControl/>
                    <w:jc w:val="left"/>
                    <w:rPr>
                      <w:rFonts w:ascii="Times New Roman" w:hAnsi="Times New Roman" w:eastAsia="仿宋_GB2312"/>
                      <w:b/>
                      <w:snapToGrid w:val="0"/>
                      <w:kern w:val="0"/>
                      <w:szCs w:val="21"/>
                    </w:rPr>
                  </w:pPr>
                </w:p>
              </w:tc>
              <w:tc>
                <w:tcPr>
                  <w:tcW w:w="266" w:type="pct"/>
                  <w:vMerge w:val="continue"/>
                  <w:vAlign w:val="center"/>
                </w:tcPr>
                <w:p>
                  <w:pPr>
                    <w:widowControl/>
                    <w:jc w:val="left"/>
                    <w:rPr>
                      <w:rFonts w:ascii="Times New Roman" w:hAnsi="Times New Roman" w:eastAsia="仿宋_GB2312"/>
                      <w:b/>
                      <w:snapToGrid w:val="0"/>
                      <w:kern w:val="0"/>
                      <w:szCs w:val="21"/>
                    </w:rPr>
                  </w:pPr>
                </w:p>
              </w:tc>
              <w:tc>
                <w:tcPr>
                  <w:tcW w:w="644" w:type="pct"/>
                  <w:vMerge w:val="continue"/>
                  <w:vAlign w:val="center"/>
                </w:tcPr>
                <w:p>
                  <w:pPr>
                    <w:widowControl/>
                    <w:jc w:val="left"/>
                    <w:rPr>
                      <w:rFonts w:ascii="Times New Roman" w:hAnsi="Times New Roman" w:eastAsia="仿宋_GB2312"/>
                      <w:b/>
                      <w:snapToGrid w:val="0"/>
                      <w:kern w:val="0"/>
                      <w:szCs w:val="21"/>
                    </w:rPr>
                  </w:pPr>
                </w:p>
              </w:tc>
              <w:tc>
                <w:tcPr>
                  <w:tcW w:w="1304" w:type="pct"/>
                  <w:vAlign w:val="center"/>
                </w:tcPr>
                <w:p>
                  <w:pPr>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大气污染</w:t>
                  </w:r>
                </w:p>
              </w:tc>
              <w:tc>
                <w:tcPr>
                  <w:tcW w:w="1015" w:type="pct"/>
                  <w:vAlign w:val="center"/>
                </w:tcPr>
                <w:p>
                  <w:pPr>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水污染</w:t>
                  </w:r>
                </w:p>
              </w:tc>
              <w:tc>
                <w:tcPr>
                  <w:tcW w:w="1002" w:type="pct"/>
                  <w:vAlign w:val="center"/>
                </w:tcPr>
                <w:p>
                  <w:pPr>
                    <w:widowControl/>
                    <w:adjustRightInd w:val="0"/>
                    <w:snapToGrid w:val="0"/>
                    <w:jc w:val="center"/>
                    <w:rPr>
                      <w:rFonts w:ascii="Times New Roman" w:hAnsi="Times New Roman" w:eastAsia="仿宋_GB2312"/>
                      <w:b/>
                      <w:snapToGrid w:val="0"/>
                      <w:kern w:val="0"/>
                      <w:szCs w:val="21"/>
                    </w:rPr>
                  </w:pPr>
                  <w:r>
                    <w:rPr>
                      <w:rFonts w:ascii="Times New Roman" w:hAnsi="Times New Roman" w:eastAsia="仿宋_GB2312"/>
                      <w:b/>
                      <w:bCs/>
                      <w:kern w:val="0"/>
                      <w:szCs w:val="21"/>
                    </w:rPr>
                    <w:t>地下水及土壤污染</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1" w:hRule="atLeast"/>
                <w:jc w:val="center"/>
              </w:trPr>
              <w:tc>
                <w:tcPr>
                  <w:tcW w:w="334" w:type="pct"/>
                  <w:tcBorders>
                    <w:left w:val="nil"/>
                  </w:tcBorders>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泄漏</w:t>
                  </w:r>
                </w:p>
              </w:tc>
              <w:tc>
                <w:tcPr>
                  <w:tcW w:w="436" w:type="pct"/>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危险化学品、危险废物</w:t>
                  </w:r>
                </w:p>
              </w:tc>
              <w:tc>
                <w:tcPr>
                  <w:tcW w:w="266" w:type="pct"/>
                  <w:vAlign w:val="center"/>
                </w:tcPr>
                <w:p>
                  <w:pPr>
                    <w:widowControl/>
                    <w:adjustRightInd w:val="0"/>
                    <w:snapToGrid w:val="0"/>
                    <w:jc w:val="center"/>
                    <w:rPr>
                      <w:rFonts w:ascii="Times New Roman" w:hAnsi="Times New Roman" w:eastAsia="仿宋_GB2312"/>
                      <w:snapToGrid w:val="0"/>
                      <w:kern w:val="0"/>
                      <w:szCs w:val="21"/>
                    </w:rPr>
                  </w:pPr>
                  <w:r>
                    <w:rPr>
                      <w:rFonts w:ascii="Times New Roman" w:hAnsi="Times New Roman" w:eastAsia="仿宋_GB2312"/>
                      <w:snapToGrid w:val="0"/>
                      <w:kern w:val="0"/>
                      <w:szCs w:val="21"/>
                    </w:rPr>
                    <w:t>泄漏</w:t>
                  </w:r>
                </w:p>
              </w:tc>
              <w:tc>
                <w:tcPr>
                  <w:tcW w:w="644" w:type="pct"/>
                  <w:vAlign w:val="center"/>
                </w:tcPr>
                <w:p>
                  <w:pPr>
                    <w:widowControl/>
                    <w:adjustRightInd w:val="0"/>
                    <w:snapToGrid w:val="0"/>
                    <w:jc w:val="center"/>
                    <w:rPr>
                      <w:rFonts w:ascii="Times New Roman" w:hAnsi="Times New Roman" w:eastAsia="仿宋_GB2312"/>
                      <w:snapToGrid w:val="0"/>
                      <w:kern w:val="0"/>
                      <w:szCs w:val="21"/>
                    </w:rPr>
                  </w:pPr>
                  <w:r>
                    <w:rPr>
                      <w:rFonts w:hint="eastAsia" w:ascii="Times New Roman" w:hAnsi="Times New Roman" w:eastAsia="仿宋_GB2312"/>
                      <w:snapToGrid w:val="0"/>
                      <w:kern w:val="0"/>
                      <w:szCs w:val="21"/>
                    </w:rPr>
                    <w:t>盐酸、硝酸、三氯甲烷等无机有机危化品和危废</w:t>
                  </w:r>
                </w:p>
              </w:tc>
              <w:tc>
                <w:tcPr>
                  <w:tcW w:w="1304" w:type="pct"/>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有毒物质泄漏后部分以气态形式挥发进入大气，造成区域环境质量超标，并超过嗅阈值，造成大气污染</w:t>
                  </w:r>
                  <w:r>
                    <w:rPr>
                      <w:rFonts w:hint="eastAsia" w:ascii="Times New Roman" w:hAnsi="Times New Roman" w:eastAsia="仿宋_GB2312"/>
                      <w:kern w:val="0"/>
                      <w:szCs w:val="21"/>
                    </w:rPr>
                    <w:t>。</w:t>
                  </w:r>
                </w:p>
              </w:tc>
              <w:tc>
                <w:tcPr>
                  <w:tcW w:w="1015" w:type="pct"/>
                  <w:vAlign w:val="center"/>
                </w:tcPr>
                <w:p>
                  <w:pPr>
                    <w:widowControl/>
                    <w:adjustRightInd w:val="0"/>
                    <w:snapToGrid w:val="0"/>
                    <w:jc w:val="center"/>
                    <w:rPr>
                      <w:rFonts w:ascii="Times New Roman" w:hAnsi="Times New Roman" w:eastAsia="仿宋_GB2312"/>
                      <w:kern w:val="44"/>
                      <w:szCs w:val="21"/>
                    </w:rPr>
                  </w:pPr>
                  <w:r>
                    <w:rPr>
                      <w:rFonts w:ascii="Times New Roman" w:hAnsi="Times New Roman" w:eastAsia="仿宋_GB2312"/>
                      <w:kern w:val="0"/>
                      <w:szCs w:val="21"/>
                    </w:rPr>
                    <w:t>有毒物质经土壤下渗流入周边水体，造成水体污染。</w:t>
                  </w:r>
                </w:p>
              </w:tc>
              <w:tc>
                <w:tcPr>
                  <w:tcW w:w="1002" w:type="pct"/>
                  <w:vAlign w:val="center"/>
                </w:tcPr>
                <w:p>
                  <w:pPr>
                    <w:widowControl/>
                    <w:adjustRightInd w:val="0"/>
                    <w:snapToGrid w:val="0"/>
                    <w:jc w:val="center"/>
                    <w:rPr>
                      <w:rFonts w:ascii="Times New Roman" w:hAnsi="Times New Roman" w:eastAsia="仿宋_GB2312"/>
                      <w:kern w:val="44"/>
                      <w:szCs w:val="21"/>
                    </w:rPr>
                  </w:pPr>
                  <w:r>
                    <w:rPr>
                      <w:rFonts w:ascii="Times New Roman" w:hAnsi="Times New Roman" w:eastAsia="仿宋_GB2312"/>
                      <w:kern w:val="0"/>
                      <w:szCs w:val="21"/>
                    </w:rPr>
                    <w:t>有毒物质进入土壤及地下水，产生的伴生/次生危害，造成土壤和地下水污染，导致土壤及地下水超标</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1" w:hRule="atLeast"/>
                <w:jc w:val="center"/>
              </w:trPr>
              <w:tc>
                <w:tcPr>
                  <w:tcW w:w="334" w:type="pct"/>
                  <w:tcBorders>
                    <w:left w:val="nil"/>
                  </w:tcBorders>
                  <w:vAlign w:val="center"/>
                </w:tcPr>
                <w:p>
                  <w:pPr>
                    <w:widowControl/>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火灾、爆炸次伴生</w:t>
                  </w:r>
                </w:p>
              </w:tc>
              <w:tc>
                <w:tcPr>
                  <w:tcW w:w="436" w:type="pct"/>
                  <w:vAlign w:val="center"/>
                </w:tcPr>
                <w:p>
                  <w:pPr>
                    <w:widowControl/>
                    <w:adjustRightInd w:val="0"/>
                    <w:snapToGrid w:val="0"/>
                    <w:jc w:val="center"/>
                    <w:rPr>
                      <w:rFonts w:ascii="Times New Roman" w:hAnsi="Times New Roman" w:eastAsia="仿宋_GB2312"/>
                      <w:kern w:val="0"/>
                      <w:szCs w:val="21"/>
                    </w:rPr>
                  </w:pPr>
                  <w:r>
                    <w:rPr>
                      <w:rFonts w:hint="eastAsia" w:ascii="Times New Roman" w:hAnsi="Times New Roman" w:eastAsia="仿宋_GB2312"/>
                      <w:kern w:val="0"/>
                      <w:szCs w:val="21"/>
                    </w:rPr>
                    <w:t>危险化学品</w:t>
                  </w:r>
                </w:p>
              </w:tc>
              <w:tc>
                <w:tcPr>
                  <w:tcW w:w="266" w:type="pct"/>
                  <w:vAlign w:val="center"/>
                </w:tcPr>
                <w:p>
                  <w:pPr>
                    <w:widowControl/>
                    <w:adjustRightInd w:val="0"/>
                    <w:snapToGrid w:val="0"/>
                    <w:jc w:val="center"/>
                    <w:rPr>
                      <w:rFonts w:ascii="Times New Roman" w:hAnsi="Times New Roman" w:eastAsia="仿宋_GB2312"/>
                      <w:snapToGrid w:val="0"/>
                      <w:kern w:val="0"/>
                      <w:szCs w:val="21"/>
                    </w:rPr>
                  </w:pPr>
                  <w:r>
                    <w:rPr>
                      <w:rFonts w:ascii="Times New Roman" w:hAnsi="Times New Roman" w:eastAsia="仿宋_GB2312"/>
                      <w:snapToGrid w:val="0"/>
                      <w:kern w:val="0"/>
                      <w:szCs w:val="21"/>
                    </w:rPr>
                    <w:t>火灾、爆炸</w:t>
                  </w:r>
                </w:p>
              </w:tc>
              <w:tc>
                <w:tcPr>
                  <w:tcW w:w="644" w:type="pct"/>
                  <w:vAlign w:val="center"/>
                </w:tcPr>
                <w:p>
                  <w:pPr>
                    <w:widowControl/>
                    <w:adjustRightInd w:val="0"/>
                    <w:snapToGrid w:val="0"/>
                    <w:jc w:val="center"/>
                    <w:rPr>
                      <w:rFonts w:ascii="Times New Roman" w:hAnsi="Times New Roman" w:eastAsia="仿宋_GB2312"/>
                      <w:snapToGrid w:val="0"/>
                      <w:kern w:val="0"/>
                      <w:szCs w:val="21"/>
                    </w:rPr>
                  </w:pPr>
                  <w:r>
                    <w:rPr>
                      <w:rFonts w:ascii="Times New Roman" w:hAnsi="Times New Roman" w:eastAsia="仿宋_GB2312"/>
                      <w:snapToGrid w:val="0"/>
                      <w:kern w:val="0"/>
                      <w:szCs w:val="21"/>
                    </w:rPr>
                    <w:t>一氧化碳、碳氢化合物</w:t>
                  </w:r>
                </w:p>
              </w:tc>
              <w:tc>
                <w:tcPr>
                  <w:tcW w:w="1304" w:type="pct"/>
                  <w:vAlign w:val="center"/>
                </w:tcPr>
                <w:p>
                  <w:pPr>
                    <w:adjustRightInd w:val="0"/>
                    <w:snapToGrid w:val="0"/>
                    <w:jc w:val="center"/>
                    <w:rPr>
                      <w:rFonts w:ascii="Times New Roman" w:hAnsi="Times New Roman" w:eastAsia="仿宋_GB2312"/>
                      <w:kern w:val="0"/>
                      <w:szCs w:val="21"/>
                    </w:rPr>
                  </w:pPr>
                  <w:r>
                    <w:rPr>
                      <w:rFonts w:ascii="Times New Roman" w:hAnsi="Times New Roman" w:eastAsia="仿宋_GB2312"/>
                      <w:kern w:val="0"/>
                      <w:szCs w:val="21"/>
                    </w:rPr>
                    <w:t>次伴生的</w:t>
                  </w:r>
                  <w:r>
                    <w:rPr>
                      <w:rFonts w:ascii="Times New Roman" w:hAnsi="Times New Roman" w:eastAsia="仿宋_GB2312"/>
                      <w:snapToGrid w:val="0"/>
                      <w:kern w:val="0"/>
                      <w:szCs w:val="21"/>
                    </w:rPr>
                    <w:t>CO、烟尘、SO</w:t>
                  </w:r>
                  <w:r>
                    <w:rPr>
                      <w:rFonts w:ascii="Times New Roman" w:hAnsi="Times New Roman" w:eastAsia="仿宋_GB2312"/>
                      <w:snapToGrid w:val="0"/>
                      <w:kern w:val="0"/>
                      <w:szCs w:val="21"/>
                      <w:vertAlign w:val="subscript"/>
                    </w:rPr>
                    <w:t>2</w:t>
                  </w:r>
                  <w:r>
                    <w:rPr>
                      <w:rFonts w:ascii="Times New Roman" w:hAnsi="Times New Roman" w:eastAsia="仿宋_GB2312"/>
                      <w:snapToGrid w:val="0"/>
                      <w:kern w:val="0"/>
                      <w:szCs w:val="21"/>
                    </w:rPr>
                    <w:t>、NOx、非甲烷总烃</w:t>
                  </w:r>
                  <w:r>
                    <w:rPr>
                      <w:rFonts w:ascii="Times New Roman" w:hAnsi="Times New Roman" w:eastAsia="仿宋_GB2312"/>
                      <w:kern w:val="0"/>
                      <w:szCs w:val="21"/>
                    </w:rPr>
                    <w:t>以气态形式挥发进入大气，产生的伴生/次生危害，造成大气污染，不利气象条件下，会造成区域环境质量超标，并超过嗅阈值</w:t>
                  </w:r>
                </w:p>
              </w:tc>
              <w:tc>
                <w:tcPr>
                  <w:tcW w:w="1015" w:type="pct"/>
                  <w:vAlign w:val="center"/>
                </w:tcPr>
                <w:p>
                  <w:pPr>
                    <w:widowControl/>
                    <w:adjustRightInd w:val="0"/>
                    <w:snapToGrid w:val="0"/>
                    <w:jc w:val="center"/>
                    <w:rPr>
                      <w:rFonts w:ascii="Times New Roman" w:hAnsi="Times New Roman" w:eastAsia="仿宋_GB2312"/>
                      <w:kern w:val="44"/>
                      <w:szCs w:val="21"/>
                    </w:rPr>
                  </w:pPr>
                  <w:r>
                    <w:rPr>
                      <w:rFonts w:ascii="Times New Roman" w:hAnsi="Times New Roman" w:eastAsia="仿宋_GB2312"/>
                      <w:kern w:val="0"/>
                      <w:szCs w:val="21"/>
                    </w:rPr>
                    <w:t>次伴生有毒物质经土壤扩散、下渗以及地表散流流入周边地表水体，造成水体污染。</w:t>
                  </w:r>
                </w:p>
              </w:tc>
              <w:tc>
                <w:tcPr>
                  <w:tcW w:w="1002" w:type="pct"/>
                  <w:vAlign w:val="center"/>
                </w:tcPr>
                <w:p>
                  <w:pPr>
                    <w:widowControl/>
                    <w:adjustRightInd w:val="0"/>
                    <w:snapToGrid w:val="0"/>
                    <w:jc w:val="center"/>
                    <w:rPr>
                      <w:rFonts w:ascii="Times New Roman" w:hAnsi="Times New Roman" w:eastAsia="仿宋_GB2312"/>
                      <w:kern w:val="44"/>
                      <w:szCs w:val="21"/>
                    </w:rPr>
                  </w:pPr>
                  <w:r>
                    <w:rPr>
                      <w:rFonts w:ascii="Times New Roman" w:hAnsi="Times New Roman" w:eastAsia="仿宋_GB2312"/>
                      <w:kern w:val="0"/>
                      <w:szCs w:val="21"/>
                    </w:rPr>
                    <w:t>次生的有毒物质进入土壤及地下水，产生的伴生/次生危害，造成土壤和地下水污染，导致土壤及地下水超标</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6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⑥</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 xml:space="preserve"> 环境风险防范措施及应急要求</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1）原辅材料储存风险防范措施</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a、项目原辅材料储存需符合储存危险化学品的相关条件（如防晒、防潮、通风、防雷、防静电、防爆等），实施危险化学品的储存和使用；</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b、对储存危险化学品的容器，应经有关检验部门定期检验合格后，才能使用，并设置明显的标识及警示牌；</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c、对使用危险化学品的名称、数量进行严格登记；</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d、凡储存、使用危险化学品的岗位，都应配置合格的防毒器材、消防器材，并确保其处于完好状态；</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e、所有储存、使用危险化学品的人员，都必须严格遵守《危险化学品管理制度》；严格按《危险化学品安全管理条例》的要求，加强对危险化学品的管理；制定危险化学品安全操作规程，要求操作人员严格按操作规程作业；对从事危险化学作业人员定期进行安全培训教育。</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f、建立健全安全规程及值勤制度，设置通讯、报警装置，确保其处于完好状态；实验室应当按照国家有关规定建设环境风险应急体系，并采取有效措施防范环境风险。</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2）危险废物仓库风险防范措施</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a、危险废物暂存场所严格按照国家标准和规范进行设置，必须设置防渗、防漏、防腐、防雨、防火等防范措施；</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b、危险废物暂存场所设置便于危险废物泄漏的收集处理的设施（托盘、防渗膜等）；</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c、在暂存场所内，各危险废物种类必须分类储存，并设置相应的标签，标明危废的来源，具体的成分，主要成分的性质和泄漏、火灾等处置方式，不得混合储存，各储存分区之间必须设置相应的防护距离，防止发生连锁反应；</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d、设置负责危险废物管理的监控部门或者专（兼）职人员，负责检查、督促、落实本项目危险废物的管理工作，建立危险废物管理责任制。制定并落实相应的规章制度、工作程序和要求、有关人员的工作职责。对本项目从事危险废物收集、运送、贮存等工作的人员和管理人员，进行相关法律和专业技术、安全防护以及紧急处理等知识的培训。</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3）废水处理风险防范措施</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若有毒有害物料流入</w:t>
            </w:r>
            <w:r>
              <w:rPr>
                <w:rFonts w:hint="eastAsia" w:ascii="Times New Roman" w:hAnsi="Times New Roman" w:eastAsia="仿宋_GB2312"/>
                <w:snapToGrid w:val="0"/>
                <w:color w:val="000000"/>
                <w:kern w:val="0"/>
                <w:sz w:val="24"/>
                <w:szCs w:val="24"/>
              </w:rPr>
              <w:t>下水道</w:t>
            </w:r>
            <w:r>
              <w:rPr>
                <w:rFonts w:ascii="Times New Roman" w:hAnsi="Times New Roman" w:eastAsia="仿宋_GB2312"/>
                <w:snapToGrid w:val="0"/>
                <w:color w:val="000000"/>
                <w:kern w:val="0"/>
                <w:sz w:val="24"/>
                <w:szCs w:val="24"/>
              </w:rPr>
              <w:t>，实验室所有在进行实验应全部停止，不再产生实验废水，同时关闭废水排放阀门。</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fldChar w:fldCharType="begin"/>
            </w:r>
            <w:r>
              <w:rPr>
                <w:rFonts w:ascii="Times New Roman" w:hAnsi="Times New Roman" w:eastAsia="仿宋_GB2312"/>
                <w:snapToGrid w:val="0"/>
                <w:color w:val="000000"/>
                <w:kern w:val="0"/>
                <w:sz w:val="24"/>
                <w:szCs w:val="24"/>
              </w:rPr>
              <w:instrText xml:space="preserve"> = 7 \* GB3 </w:instrText>
            </w:r>
            <w:r>
              <w:rPr>
                <w:rFonts w:ascii="Times New Roman" w:hAnsi="Times New Roman" w:eastAsia="仿宋_GB2312"/>
                <w:snapToGrid w:val="0"/>
                <w:color w:val="000000"/>
                <w:kern w:val="0"/>
                <w:sz w:val="24"/>
                <w:szCs w:val="24"/>
              </w:rPr>
              <w:fldChar w:fldCharType="separate"/>
            </w:r>
            <w:r>
              <w:rPr>
                <w:rFonts w:hint="eastAsia" w:ascii="宋体" w:hAnsi="宋体" w:cs="宋体"/>
                <w:snapToGrid w:val="0"/>
                <w:color w:val="000000"/>
                <w:kern w:val="0"/>
                <w:sz w:val="24"/>
                <w:szCs w:val="24"/>
              </w:rPr>
              <w:t>⑦</w:t>
            </w:r>
            <w:r>
              <w:rPr>
                <w:rFonts w:ascii="Times New Roman" w:hAnsi="Times New Roman" w:eastAsia="仿宋_GB2312"/>
                <w:snapToGrid w:val="0"/>
                <w:color w:val="000000"/>
                <w:kern w:val="0"/>
                <w:sz w:val="24"/>
                <w:szCs w:val="24"/>
              </w:rPr>
              <w:fldChar w:fldCharType="end"/>
            </w:r>
            <w:r>
              <w:rPr>
                <w:rFonts w:ascii="Times New Roman" w:hAnsi="Times New Roman" w:eastAsia="仿宋_GB2312"/>
                <w:snapToGrid w:val="0"/>
                <w:color w:val="000000"/>
                <w:kern w:val="0"/>
                <w:sz w:val="24"/>
                <w:szCs w:val="24"/>
              </w:rPr>
              <w:t>分析结论</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采取上述风险防范措施后，项目的环境风险控制</w:t>
            </w:r>
            <w:r>
              <w:rPr>
                <w:rFonts w:hint="eastAsia" w:ascii="Times New Roman" w:hAnsi="Times New Roman" w:eastAsia="仿宋_GB2312"/>
                <w:snapToGrid w:val="0"/>
                <w:color w:val="000000"/>
                <w:kern w:val="0"/>
                <w:sz w:val="24"/>
                <w:szCs w:val="24"/>
              </w:rPr>
              <w:t>可防控</w:t>
            </w:r>
            <w:r>
              <w:rPr>
                <w:rFonts w:ascii="Times New Roman" w:hAnsi="Times New Roman" w:eastAsia="仿宋_GB2312"/>
                <w:snapToGrid w:val="0"/>
                <w:color w:val="000000"/>
                <w:kern w:val="0"/>
                <w:sz w:val="24"/>
                <w:szCs w:val="24"/>
              </w:rPr>
              <w:t>。建设项目环境风险简单分析见表7-23。</w:t>
            </w:r>
          </w:p>
          <w:p>
            <w:pPr>
              <w:pStyle w:val="121"/>
              <w:adjustRightInd w:val="0"/>
              <w:snapToGrid w:val="0"/>
              <w:spacing w:line="480" w:lineRule="exact"/>
              <w:rPr>
                <w:rFonts w:ascii="Times New Roman" w:hAnsi="Times New Roman" w:eastAsia="仿宋_GB2312"/>
                <w:snapToGrid w:val="0"/>
                <w:color w:val="000000"/>
              </w:rPr>
            </w:pPr>
          </w:p>
          <w:p>
            <w:pPr>
              <w:pStyle w:val="121"/>
              <w:adjustRightInd w:val="0"/>
              <w:snapToGrid w:val="0"/>
              <w:spacing w:line="480" w:lineRule="exact"/>
              <w:rPr>
                <w:rFonts w:ascii="Times New Roman" w:hAnsi="Times New Roman" w:eastAsia="仿宋_GB2312"/>
                <w:snapToGrid w:val="0"/>
                <w:color w:val="000000"/>
              </w:rPr>
            </w:pPr>
          </w:p>
          <w:p>
            <w:pPr>
              <w:pStyle w:val="121"/>
              <w:adjustRightInd w:val="0"/>
              <w:snapToGrid w:val="0"/>
              <w:spacing w:line="480" w:lineRule="exact"/>
              <w:rPr>
                <w:rFonts w:ascii="Times New Roman" w:hAnsi="Times New Roman" w:eastAsia="仿宋_GB2312"/>
                <w:snapToGrid w:val="0"/>
                <w:color w:val="000000"/>
              </w:rPr>
            </w:pPr>
          </w:p>
          <w:p>
            <w:pPr>
              <w:pStyle w:val="121"/>
              <w:adjustRightInd w:val="0"/>
              <w:snapToGrid w:val="0"/>
              <w:spacing w:line="480" w:lineRule="exact"/>
              <w:rPr>
                <w:rFonts w:ascii="Times New Roman" w:hAnsi="Times New Roman" w:eastAsia="仿宋_GB2312"/>
                <w:snapToGrid w:val="0"/>
                <w:color w:val="000000"/>
              </w:rPr>
            </w:pPr>
          </w:p>
          <w:p>
            <w:pPr>
              <w:pStyle w:val="121"/>
              <w:adjustRightInd w:val="0"/>
              <w:snapToGrid w:val="0"/>
              <w:spacing w:line="480" w:lineRule="exact"/>
              <w:rPr>
                <w:rFonts w:ascii="Times New Roman" w:hAnsi="Times New Roman" w:eastAsia="仿宋_GB2312"/>
                <w:snapToGrid w:val="0"/>
                <w:color w:val="000000"/>
              </w:rPr>
            </w:pPr>
          </w:p>
          <w:p>
            <w:pPr>
              <w:pStyle w:val="121"/>
              <w:adjustRightInd w:val="0"/>
              <w:snapToGrid w:val="0"/>
              <w:spacing w:line="480" w:lineRule="exact"/>
              <w:rPr>
                <w:rFonts w:ascii="Times New Roman" w:hAnsi="Times New Roman" w:eastAsia="仿宋_GB2312"/>
                <w:snapToGrid w:val="0"/>
                <w:color w:val="000000"/>
              </w:rPr>
            </w:pPr>
          </w:p>
          <w:p>
            <w:pPr>
              <w:pStyle w:val="121"/>
              <w:adjustRightInd w:val="0"/>
              <w:snapToGrid w:val="0"/>
              <w:spacing w:line="480" w:lineRule="exact"/>
              <w:rPr>
                <w:rFonts w:ascii="Times New Roman" w:hAnsi="Times New Roman" w:eastAsia="仿宋_GB2312"/>
                <w:snapToGrid w:val="0"/>
                <w:color w:val="000000"/>
              </w:rPr>
            </w:pPr>
            <w:r>
              <w:rPr>
                <w:rFonts w:ascii="Times New Roman" w:hAnsi="Times New Roman" w:eastAsia="仿宋_GB2312"/>
                <w:snapToGrid w:val="0"/>
                <w:color w:val="000000"/>
              </w:rPr>
              <w:t>表7-23 建设项目环境风险简单分析内容表</w:t>
            </w:r>
          </w:p>
          <w:tbl>
            <w:tblPr>
              <w:tblStyle w:val="38"/>
              <w:tblW w:w="490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1500"/>
              <w:gridCol w:w="1337"/>
              <w:gridCol w:w="1332"/>
              <w:gridCol w:w="891"/>
              <w:gridCol w:w="1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67" w:type="pct"/>
                  <w:shd w:val="clear" w:color="auto" w:fill="auto"/>
                  <w:vAlign w:val="center"/>
                </w:tcPr>
                <w:p>
                  <w:pPr>
                    <w:pStyle w:val="120"/>
                    <w:rPr>
                      <w:rFonts w:eastAsia="仿宋_GB2312"/>
                      <w:b/>
                      <w:snapToGrid w:val="0"/>
                      <w:color w:val="000000"/>
                      <w:spacing w:val="0"/>
                      <w:sz w:val="21"/>
                      <w:szCs w:val="21"/>
                    </w:rPr>
                  </w:pPr>
                  <w:r>
                    <w:rPr>
                      <w:rFonts w:eastAsia="仿宋_GB2312"/>
                      <w:b/>
                      <w:snapToGrid w:val="0"/>
                      <w:color w:val="000000"/>
                      <w:spacing w:val="0"/>
                      <w:sz w:val="21"/>
                      <w:szCs w:val="21"/>
                    </w:rPr>
                    <w:t>建设项目名称</w:t>
                  </w:r>
                </w:p>
              </w:tc>
              <w:tc>
                <w:tcPr>
                  <w:tcW w:w="3733" w:type="pct"/>
                  <w:gridSpan w:val="5"/>
                  <w:shd w:val="clear" w:color="auto" w:fill="auto"/>
                  <w:vAlign w:val="center"/>
                </w:tcPr>
                <w:p>
                  <w:pPr>
                    <w:pStyle w:val="120"/>
                    <w:rPr>
                      <w:rFonts w:eastAsia="仿宋_GB2312"/>
                      <w:b/>
                      <w:snapToGrid w:val="0"/>
                      <w:color w:val="000000"/>
                      <w:spacing w:val="0"/>
                      <w:sz w:val="21"/>
                      <w:szCs w:val="21"/>
                    </w:rPr>
                  </w:pPr>
                  <w:r>
                    <w:rPr>
                      <w:rFonts w:hint="eastAsia" w:eastAsia="仿宋_GB2312"/>
                      <w:b/>
                      <w:bCs/>
                      <w:snapToGrid w:val="0"/>
                      <w:color w:val="000000"/>
                      <w:spacing w:val="0"/>
                      <w:sz w:val="21"/>
                      <w:szCs w:val="21"/>
                    </w:rPr>
                    <w:t>凤凰西街241号实验楼（北楼）内部整修工程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67"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建设地点</w:t>
                  </w:r>
                </w:p>
              </w:tc>
              <w:tc>
                <w:tcPr>
                  <w:tcW w:w="919" w:type="pct"/>
                  <w:shd w:val="clear" w:color="auto" w:fill="auto"/>
                  <w:vAlign w:val="center"/>
                </w:tcPr>
                <w:p>
                  <w:pPr>
                    <w:pStyle w:val="253"/>
                    <w:rPr>
                      <w:rFonts w:eastAsia="仿宋_GB2312"/>
                      <w:color w:val="000000"/>
                    </w:rPr>
                  </w:pPr>
                  <w:r>
                    <w:rPr>
                      <w:rFonts w:eastAsia="仿宋_GB2312"/>
                      <w:color w:val="000000"/>
                    </w:rPr>
                    <w:t>（江苏）省</w:t>
                  </w:r>
                </w:p>
              </w:tc>
              <w:tc>
                <w:tcPr>
                  <w:tcW w:w="819" w:type="pct"/>
                  <w:shd w:val="clear" w:color="auto" w:fill="auto"/>
                  <w:vAlign w:val="center"/>
                </w:tcPr>
                <w:p>
                  <w:pPr>
                    <w:pStyle w:val="253"/>
                    <w:rPr>
                      <w:rFonts w:eastAsia="仿宋_GB2312"/>
                      <w:color w:val="000000"/>
                    </w:rPr>
                  </w:pPr>
                  <w:r>
                    <w:rPr>
                      <w:rFonts w:eastAsia="仿宋_GB2312"/>
                      <w:color w:val="000000"/>
                    </w:rPr>
                    <w:t>（南京）市</w:t>
                  </w:r>
                </w:p>
              </w:tc>
              <w:tc>
                <w:tcPr>
                  <w:tcW w:w="816" w:type="pct"/>
                  <w:shd w:val="clear" w:color="auto" w:fill="auto"/>
                  <w:vAlign w:val="center"/>
                </w:tcPr>
                <w:p>
                  <w:pPr>
                    <w:pStyle w:val="253"/>
                    <w:rPr>
                      <w:rFonts w:eastAsia="仿宋_GB2312"/>
                      <w:color w:val="000000"/>
                    </w:rPr>
                  </w:pPr>
                  <w:r>
                    <w:rPr>
                      <w:rFonts w:eastAsia="仿宋_GB2312"/>
                      <w:color w:val="000000"/>
                    </w:rPr>
                    <w:t>（鼓楼）区</w:t>
                  </w:r>
                </w:p>
              </w:tc>
              <w:tc>
                <w:tcPr>
                  <w:tcW w:w="546" w:type="pct"/>
                  <w:shd w:val="clear" w:color="auto" w:fill="auto"/>
                  <w:vAlign w:val="center"/>
                </w:tcPr>
                <w:p>
                  <w:pPr>
                    <w:pStyle w:val="253"/>
                    <w:rPr>
                      <w:rFonts w:eastAsia="仿宋_GB2312"/>
                      <w:color w:val="000000"/>
                    </w:rPr>
                  </w:pPr>
                  <w:r>
                    <w:rPr>
                      <w:rFonts w:eastAsia="仿宋_GB2312"/>
                      <w:color w:val="000000"/>
                    </w:rPr>
                    <w:t>（）县</w:t>
                  </w:r>
                </w:p>
              </w:tc>
              <w:tc>
                <w:tcPr>
                  <w:tcW w:w="633" w:type="pct"/>
                  <w:shd w:val="clear" w:color="auto" w:fill="auto"/>
                  <w:vAlign w:val="center"/>
                </w:tcPr>
                <w:p>
                  <w:pPr>
                    <w:pStyle w:val="253"/>
                    <w:rPr>
                      <w:rFonts w:eastAsia="仿宋_GB2312"/>
                      <w:color w:val="000000"/>
                    </w:rPr>
                  </w:pPr>
                  <w:r>
                    <w:rPr>
                      <w:rFonts w:eastAsia="仿宋_GB2312"/>
                      <w:color w:val="000000"/>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67"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地理坐标</w:t>
                  </w:r>
                </w:p>
              </w:tc>
              <w:tc>
                <w:tcPr>
                  <w:tcW w:w="919"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经度</w:t>
                  </w:r>
                </w:p>
              </w:tc>
              <w:tc>
                <w:tcPr>
                  <w:tcW w:w="819"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118.7457°</w:t>
                  </w:r>
                </w:p>
              </w:tc>
              <w:tc>
                <w:tcPr>
                  <w:tcW w:w="816"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纬度</w:t>
                  </w:r>
                </w:p>
              </w:tc>
              <w:tc>
                <w:tcPr>
                  <w:tcW w:w="1179" w:type="pct"/>
                  <w:gridSpan w:val="2"/>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32.0429°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67"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主要危险物质及分布</w:t>
                  </w:r>
                </w:p>
              </w:tc>
              <w:tc>
                <w:tcPr>
                  <w:tcW w:w="3733" w:type="pct"/>
                  <w:gridSpan w:val="5"/>
                  <w:shd w:val="clear" w:color="auto" w:fill="auto"/>
                  <w:vAlign w:val="center"/>
                </w:tcPr>
                <w:p>
                  <w:pPr>
                    <w:pStyle w:val="120"/>
                    <w:ind w:firstLine="360"/>
                    <w:rPr>
                      <w:rFonts w:eastAsia="仿宋_GB2312"/>
                      <w:snapToGrid w:val="0"/>
                      <w:color w:val="000000"/>
                      <w:spacing w:val="0"/>
                      <w:sz w:val="21"/>
                      <w:szCs w:val="21"/>
                    </w:rPr>
                  </w:pPr>
                  <w:r>
                    <w:rPr>
                      <w:rFonts w:eastAsia="仿宋_GB2312"/>
                      <w:snapToGrid w:val="0"/>
                      <w:color w:val="000000"/>
                      <w:spacing w:val="0"/>
                      <w:sz w:val="21"/>
                      <w:szCs w:val="21"/>
                    </w:rPr>
                    <w:t>主要危险物质：硫酸、硝酸、盐酸、氧气、乙炔等化学品；分布：化学品仓库/气瓶柜、化学品使用区。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67"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环境影响途径及危害后果（大气、地表水、地下水等）</w:t>
                  </w:r>
                </w:p>
              </w:tc>
              <w:tc>
                <w:tcPr>
                  <w:tcW w:w="3733" w:type="pct"/>
                  <w:gridSpan w:val="5"/>
                  <w:shd w:val="clear" w:color="auto" w:fill="auto"/>
                  <w:vAlign w:val="center"/>
                </w:tcPr>
                <w:p>
                  <w:pPr>
                    <w:pStyle w:val="120"/>
                    <w:ind w:firstLine="315" w:firstLineChars="150"/>
                    <w:jc w:val="left"/>
                    <w:rPr>
                      <w:rFonts w:eastAsia="仿宋_GB2312"/>
                      <w:snapToGrid w:val="0"/>
                      <w:color w:val="000000"/>
                      <w:spacing w:val="0"/>
                      <w:sz w:val="21"/>
                      <w:szCs w:val="21"/>
                    </w:rPr>
                  </w:pPr>
                  <w:r>
                    <w:rPr>
                      <w:rFonts w:eastAsia="仿宋_GB2312"/>
                      <w:bCs/>
                      <w:snapToGrid w:val="0"/>
                      <w:color w:val="000000"/>
                      <w:spacing w:val="0"/>
                      <w:sz w:val="21"/>
                      <w:szCs w:val="21"/>
                    </w:rPr>
                    <w:t>有毒原料在使用、贮存和运输过程中，因意外事故造成泄漏、火灾、爆炸，实验室危险废物泄漏、</w:t>
                  </w:r>
                  <w:r>
                    <w:rPr>
                      <w:rFonts w:hint="eastAsia" w:eastAsia="仿宋_GB2312"/>
                      <w:bCs/>
                      <w:snapToGrid w:val="0"/>
                      <w:color w:val="000000"/>
                      <w:spacing w:val="0"/>
                      <w:sz w:val="21"/>
                      <w:szCs w:val="21"/>
                    </w:rPr>
                    <w:t>废气处理系统</w:t>
                  </w:r>
                  <w:r>
                    <w:rPr>
                      <w:rFonts w:eastAsia="仿宋_GB2312"/>
                      <w:bCs/>
                      <w:snapToGrid w:val="0"/>
                      <w:color w:val="000000"/>
                      <w:spacing w:val="0"/>
                      <w:sz w:val="21"/>
                      <w:szCs w:val="21"/>
                    </w:rPr>
                    <w:t>出现故障</w:t>
                  </w:r>
                  <w:r>
                    <w:rPr>
                      <w:rFonts w:hint="eastAsia" w:eastAsia="仿宋_GB2312"/>
                      <w:bCs/>
                      <w:snapToGrid w:val="0"/>
                      <w:color w:val="000000"/>
                      <w:spacing w:val="0"/>
                      <w:sz w:val="21"/>
                      <w:szCs w:val="21"/>
                    </w:rPr>
                    <w:t>、废液操作不当倒入下水道</w:t>
                  </w:r>
                  <w:r>
                    <w:rPr>
                      <w:rFonts w:eastAsia="仿宋_GB2312"/>
                      <w:bCs/>
                      <w:snapToGrid w:val="0"/>
                      <w:color w:val="000000"/>
                      <w:spacing w:val="0"/>
                      <w:sz w:val="21"/>
                      <w:szCs w:val="21"/>
                    </w:rPr>
                    <w:t>等会对周围大气、地表水、地下水环境产生影响。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1267" w:type="pct"/>
                  <w:shd w:val="clear" w:color="auto" w:fill="auto"/>
                  <w:vAlign w:val="center"/>
                </w:tcPr>
                <w:p>
                  <w:pPr>
                    <w:pStyle w:val="120"/>
                    <w:rPr>
                      <w:rFonts w:eastAsia="仿宋_GB2312"/>
                      <w:snapToGrid w:val="0"/>
                      <w:color w:val="000000"/>
                      <w:spacing w:val="0"/>
                      <w:sz w:val="21"/>
                      <w:szCs w:val="21"/>
                    </w:rPr>
                  </w:pPr>
                  <w:r>
                    <w:rPr>
                      <w:rFonts w:eastAsia="仿宋_GB2312"/>
                      <w:snapToGrid w:val="0"/>
                      <w:color w:val="000000"/>
                      <w:spacing w:val="0"/>
                      <w:sz w:val="21"/>
                      <w:szCs w:val="21"/>
                    </w:rPr>
                    <w:t>风险防范措施要求</w:t>
                  </w:r>
                </w:p>
              </w:tc>
              <w:tc>
                <w:tcPr>
                  <w:tcW w:w="3733" w:type="pct"/>
                  <w:gridSpan w:val="5"/>
                  <w:shd w:val="clear" w:color="auto" w:fill="auto"/>
                  <w:vAlign w:val="center"/>
                </w:tcPr>
                <w:p>
                  <w:pPr>
                    <w:pStyle w:val="120"/>
                    <w:ind w:firstLine="420" w:firstLineChars="200"/>
                    <w:jc w:val="both"/>
                    <w:rPr>
                      <w:rFonts w:eastAsia="仿宋_GB2312"/>
                      <w:snapToGrid w:val="0"/>
                      <w:color w:val="000000"/>
                      <w:spacing w:val="0"/>
                      <w:sz w:val="21"/>
                      <w:szCs w:val="21"/>
                    </w:rPr>
                  </w:pPr>
                  <w:r>
                    <w:rPr>
                      <w:rFonts w:eastAsia="仿宋_GB2312"/>
                      <w:snapToGrid w:val="0"/>
                      <w:color w:val="000000"/>
                      <w:spacing w:val="0"/>
                      <w:sz w:val="21"/>
                      <w:szCs w:val="21"/>
                    </w:rPr>
                    <w:t>有毒原料在使用、贮存和运输过程中，因意外事故造成泄漏，会对周围环境产生较大的影响。危险品采用特制容器密闭包装，专用车辆运输，按要求进行贮存，包装破损的可能性较小，危险品全过程记录出入库情况，指定专人保管；</w:t>
                  </w:r>
                </w:p>
                <w:p>
                  <w:pPr>
                    <w:pStyle w:val="120"/>
                    <w:ind w:firstLine="420" w:firstLineChars="200"/>
                    <w:jc w:val="both"/>
                    <w:rPr>
                      <w:rFonts w:eastAsia="仿宋_GB2312"/>
                      <w:snapToGrid w:val="0"/>
                      <w:color w:val="000000"/>
                      <w:spacing w:val="0"/>
                      <w:sz w:val="21"/>
                      <w:szCs w:val="21"/>
                    </w:rPr>
                  </w:pPr>
                  <w:r>
                    <w:rPr>
                      <w:rFonts w:eastAsia="仿宋_GB2312"/>
                      <w:snapToGrid w:val="0"/>
                      <w:color w:val="000000"/>
                      <w:spacing w:val="0"/>
                      <w:sz w:val="21"/>
                      <w:szCs w:val="21"/>
                    </w:rPr>
                    <w:t>危险废物泄漏。建设项目产生的实验废液储存在废液桶中，并置于防渗膜内，当事故时，液体可迅速流入防渗膜内进行收集，避免流入废水系统或对土壤、地下水造成影响；</w:t>
                  </w:r>
                </w:p>
                <w:p>
                  <w:pPr>
                    <w:pStyle w:val="120"/>
                    <w:ind w:firstLine="420" w:firstLineChars="200"/>
                    <w:jc w:val="both"/>
                    <w:rPr>
                      <w:rFonts w:eastAsia="仿宋_GB2312"/>
                      <w:snapToGrid w:val="0"/>
                      <w:color w:val="000000"/>
                      <w:spacing w:val="0"/>
                      <w:sz w:val="21"/>
                      <w:szCs w:val="21"/>
                    </w:rPr>
                  </w:pPr>
                  <w:r>
                    <w:rPr>
                      <w:rFonts w:eastAsia="仿宋_GB2312"/>
                      <w:snapToGrid w:val="0"/>
                      <w:color w:val="000000"/>
                      <w:spacing w:val="0"/>
                      <w:sz w:val="21"/>
                      <w:szCs w:val="21"/>
                    </w:rPr>
                    <w:t>若有毒有害物料流入</w:t>
                  </w:r>
                  <w:r>
                    <w:rPr>
                      <w:rFonts w:hint="eastAsia" w:eastAsia="仿宋_GB2312"/>
                      <w:snapToGrid w:val="0"/>
                      <w:color w:val="000000"/>
                      <w:spacing w:val="0"/>
                      <w:sz w:val="21"/>
                      <w:szCs w:val="21"/>
                    </w:rPr>
                    <w:t>下水道</w:t>
                  </w:r>
                  <w:r>
                    <w:rPr>
                      <w:rFonts w:eastAsia="仿宋_GB2312"/>
                      <w:snapToGrid w:val="0"/>
                      <w:color w:val="000000"/>
                      <w:spacing w:val="0"/>
                      <w:sz w:val="21"/>
                      <w:szCs w:val="21"/>
                    </w:rPr>
                    <w:t>，实验室所有在进行实验应全部停止，不再产生实验废水，同时关闭废水排放阀门。</w:t>
                  </w:r>
                  <w:r>
                    <w:rPr>
                      <w:rFonts w:hint="eastAsia" w:eastAsia="仿宋_GB2312"/>
                      <w:snapToGrid w:val="0"/>
                      <w:color w:val="000000"/>
                      <w:spacing w:val="0"/>
                      <w:sz w:val="21"/>
                      <w:szCs w:val="21"/>
                    </w:rPr>
                    <w:t>具体见上文。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5000" w:type="pct"/>
                  <w:gridSpan w:val="6"/>
                  <w:shd w:val="clear" w:color="auto" w:fill="auto"/>
                  <w:vAlign w:val="center"/>
                </w:tcPr>
                <w:p>
                  <w:pPr>
                    <w:pStyle w:val="122"/>
                    <w:adjustRightInd w:val="0"/>
                    <w:snapToGrid w:val="0"/>
                    <w:ind w:firstLine="0" w:firstLineChars="0"/>
                    <w:jc w:val="left"/>
                    <w:rPr>
                      <w:rStyle w:val="119"/>
                      <w:rFonts w:ascii="Times New Roman" w:hAnsi="Times New Roman" w:eastAsia="仿宋_GB2312"/>
                      <w:snapToGrid w:val="0"/>
                      <w:color w:val="000000"/>
                      <w:sz w:val="21"/>
                      <w:szCs w:val="21"/>
                    </w:rPr>
                  </w:pPr>
                  <w:r>
                    <w:rPr>
                      <w:rStyle w:val="119"/>
                      <w:rFonts w:ascii="Times New Roman" w:hAnsi="Times New Roman" w:eastAsia="仿宋_GB2312"/>
                      <w:snapToGrid w:val="0"/>
                      <w:color w:val="000000"/>
                      <w:sz w:val="21"/>
                      <w:szCs w:val="21"/>
                    </w:rPr>
                    <w:t>填表说明（列出项目相关信息及评价说明）：</w:t>
                  </w:r>
                </w:p>
                <w:p>
                  <w:pPr>
                    <w:pStyle w:val="122"/>
                    <w:adjustRightInd w:val="0"/>
                    <w:snapToGrid w:val="0"/>
                    <w:spacing w:line="240" w:lineRule="auto"/>
                    <w:ind w:firstLine="436"/>
                    <w:jc w:val="left"/>
                    <w:rPr>
                      <w:rFonts w:ascii="Times New Roman" w:hAnsi="Times New Roman" w:eastAsia="仿宋_GB2312"/>
                      <w:snapToGrid w:val="0"/>
                      <w:color w:val="000000"/>
                      <w:sz w:val="21"/>
                      <w:szCs w:val="21"/>
                    </w:rPr>
                  </w:pPr>
                  <w:r>
                    <w:rPr>
                      <w:rStyle w:val="119"/>
                      <w:rFonts w:ascii="Times New Roman" w:hAnsi="Times New Roman" w:eastAsia="仿宋_GB2312"/>
                      <w:snapToGrid w:val="0"/>
                      <w:color w:val="000000"/>
                      <w:sz w:val="21"/>
                      <w:szCs w:val="21"/>
                    </w:rPr>
                    <w:t>本项目为环境保护监测项目，检测过程中涉及的化学试剂，通过计算最大存在总量与临界量比值Q，各风险物质比值总和Q＜1，直接判断本项目环境风险潜势为Ⅰ。</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（6）土壤及地下水环境影响评价</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根据《环境影响评价技术导则土壤环境（试行）》（GB 964-2018），导则4.2.2中要求“根据行业特性、工艺特点或规模大小等将建设项目分为I类、II类、III类、IV类，其中IV类建设项目可不开展土壤环境影响评价”。根据导则附录A中表A.1土壤环境影响评价项目类别，本项目为实验室建设项目，属于其中的“其它行业”，属于IV类项目，根据导则要求可不开展土壤环境影响评价。</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根据《环境影响评价技术导则 地下水环境》（HJ 610-2016）附录A，本项目属于“163、专业实验室，其他--报告表”，属于IV类项目，可不开展地下水环境影响评价。</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建设项目位于南京市鼓楼区凤凰西街241号，危险废物仓库按照《危险废物贮存污染控制标准》（GB18597-2001）相关要求采取防渗措施。同时，实验过程中加强管理，规范实验操作，防止试剂药品、实验废液等遗撒地面，项目正常生产状态下不会对土壤、地下水环境产生不利影响。</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（7）环境管理与监测计划</w:t>
            </w:r>
          </w:p>
          <w:p>
            <w:pPr>
              <w:adjustRightInd w:val="0"/>
              <w:snapToGrid w:val="0"/>
              <w:spacing w:line="500" w:lineRule="exact"/>
              <w:ind w:firstLine="480" w:firstLineChars="200"/>
              <w:rPr>
                <w:rFonts w:ascii="Times New Roman" w:hAnsi="Times New Roman" w:eastAsia="仿宋_GB2312"/>
                <w:bCs/>
                <w:snapToGrid w:val="0"/>
                <w:color w:val="000000"/>
                <w:kern w:val="0"/>
                <w:sz w:val="24"/>
                <w:szCs w:val="24"/>
              </w:rPr>
            </w:pPr>
            <w:r>
              <w:rPr>
                <w:rFonts w:ascii="Times New Roman" w:hAnsi="Times New Roman" w:eastAsia="仿宋_GB2312"/>
                <w:bCs/>
                <w:snapToGrid w:val="0"/>
                <w:color w:val="000000"/>
                <w:kern w:val="0"/>
                <w:sz w:val="24"/>
                <w:szCs w:val="24"/>
              </w:rPr>
              <w:t>1）环境管理计划：</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①</w:t>
            </w:r>
            <w:r>
              <w:rPr>
                <w:rFonts w:ascii="Times New Roman" w:hAnsi="Times New Roman" w:eastAsia="仿宋_GB2312"/>
                <w:snapToGrid w:val="0"/>
                <w:color w:val="000000"/>
                <w:kern w:val="0"/>
                <w:sz w:val="24"/>
                <w:szCs w:val="24"/>
              </w:rPr>
              <w:t xml:space="preserve"> 严格执行“三同时”制度</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在项目筹备、设计和施工建设不同阶段，均应严格执行“三同时”制度，确保污染处理设施能够与生产工艺设施“同时设计、同时施工、同时</w:t>
            </w:r>
            <w:r>
              <w:rPr>
                <w:rFonts w:hint="eastAsia" w:ascii="Times New Roman" w:hAnsi="Times New Roman" w:eastAsia="仿宋_GB2312"/>
                <w:snapToGrid w:val="0"/>
                <w:color w:val="000000"/>
                <w:kern w:val="0"/>
                <w:sz w:val="24"/>
                <w:szCs w:val="24"/>
              </w:rPr>
              <w:t>投入使用</w:t>
            </w:r>
            <w:r>
              <w:rPr>
                <w:rFonts w:ascii="Times New Roman" w:hAnsi="Times New Roman" w:eastAsia="仿宋_GB2312"/>
                <w:snapToGrid w:val="0"/>
                <w:color w:val="000000"/>
                <w:kern w:val="0"/>
                <w:sz w:val="24"/>
                <w:szCs w:val="24"/>
              </w:rPr>
              <w:t>”。</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②</w:t>
            </w:r>
            <w:r>
              <w:rPr>
                <w:rFonts w:ascii="Times New Roman" w:hAnsi="Times New Roman" w:eastAsia="仿宋_GB2312"/>
                <w:snapToGrid w:val="0"/>
                <w:color w:val="000000"/>
                <w:kern w:val="0"/>
                <w:sz w:val="24"/>
                <w:szCs w:val="24"/>
              </w:rPr>
              <w:t xml:space="preserve"> 建立环境报告制度</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应按有关法规的要求，严格执行排污申报制度；此外，在项目排污发生重大变化、污染治理设施发生重大改变或拟实施新、改、扩建项目时必须及时向相关</w:t>
            </w:r>
            <w:r>
              <w:rPr>
                <w:rFonts w:hint="eastAsia" w:ascii="Times New Roman" w:hAnsi="Times New Roman" w:eastAsia="仿宋_GB2312"/>
                <w:snapToGrid w:val="0"/>
                <w:color w:val="000000"/>
                <w:kern w:val="0"/>
                <w:sz w:val="24"/>
                <w:szCs w:val="24"/>
              </w:rPr>
              <w:t>生态环境</w:t>
            </w:r>
            <w:r>
              <w:rPr>
                <w:rFonts w:ascii="Times New Roman" w:hAnsi="Times New Roman" w:eastAsia="仿宋_GB2312"/>
                <w:snapToGrid w:val="0"/>
                <w:color w:val="000000"/>
                <w:kern w:val="0"/>
                <w:sz w:val="24"/>
                <w:szCs w:val="24"/>
              </w:rPr>
              <w:t>行政主管部门申报。</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③</w:t>
            </w:r>
            <w:r>
              <w:rPr>
                <w:rFonts w:ascii="Times New Roman" w:hAnsi="Times New Roman" w:eastAsia="仿宋_GB2312"/>
                <w:snapToGrid w:val="0"/>
                <w:color w:val="000000"/>
                <w:kern w:val="0"/>
                <w:sz w:val="24"/>
                <w:szCs w:val="24"/>
              </w:rPr>
              <w:t xml:space="preserve"> 健全污染治理设施管理制度</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建立健全污染治理设施的运行、检修、维护保养的作业规程和管理制度，将污染治理设施的管理与生产经营管理一同纳入实验室日常管理工作的范畴，落实责任人，建立管理台帐。避免擅自拆除或闲置污染处理设施现象的发生，严禁故意不正常使用污染处理设施。</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④</w:t>
            </w:r>
            <w:r>
              <w:rPr>
                <w:rFonts w:ascii="Times New Roman" w:hAnsi="Times New Roman" w:eastAsia="仿宋_GB2312"/>
                <w:snapToGrid w:val="0"/>
                <w:color w:val="000000"/>
                <w:kern w:val="0"/>
                <w:sz w:val="24"/>
                <w:szCs w:val="24"/>
              </w:rPr>
              <w:t xml:space="preserve"> 建立环境目标管理责任制和奖惩条例</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实验室内部形成注重环境管理，持续改进环境绩效的氛围。</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⑤</w:t>
            </w:r>
            <w:r>
              <w:rPr>
                <w:rFonts w:ascii="Times New Roman" w:hAnsi="Times New Roman" w:eastAsia="仿宋_GB2312"/>
                <w:snapToGrid w:val="0"/>
                <w:color w:val="000000"/>
                <w:kern w:val="0"/>
                <w:sz w:val="24"/>
                <w:szCs w:val="24"/>
              </w:rPr>
              <w:t xml:space="preserve"> 建设单位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p>
            <w:pPr>
              <w:adjustRightInd w:val="0"/>
              <w:snapToGrid w:val="0"/>
              <w:spacing w:line="500" w:lineRule="exact"/>
              <w:ind w:firstLine="480" w:firstLineChars="200"/>
              <w:rPr>
                <w:rFonts w:ascii="Times New Roman" w:hAnsi="Times New Roman" w:eastAsia="仿宋_GB2312"/>
                <w:bCs/>
                <w:snapToGrid w:val="0"/>
                <w:color w:val="000000"/>
                <w:kern w:val="0"/>
                <w:sz w:val="24"/>
                <w:szCs w:val="24"/>
              </w:rPr>
            </w:pPr>
            <w:r>
              <w:rPr>
                <w:rFonts w:ascii="Times New Roman" w:hAnsi="Times New Roman" w:eastAsia="仿宋_GB2312"/>
                <w:bCs/>
                <w:snapToGrid w:val="0"/>
                <w:color w:val="000000"/>
                <w:kern w:val="0"/>
                <w:sz w:val="24"/>
                <w:szCs w:val="24"/>
              </w:rPr>
              <w:t>2）监测计划：</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根据《排污单位自行监测技术指南 总则》（HJ819-2017）等文件要求，排污单位应查清所有污染源，确定主要污染源及主要监测指标，制定监测方案。</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①</w:t>
            </w:r>
            <w:r>
              <w:rPr>
                <w:rFonts w:ascii="Times New Roman" w:hAnsi="Times New Roman" w:eastAsia="仿宋_GB2312"/>
                <w:snapToGrid w:val="0"/>
                <w:color w:val="000000"/>
                <w:kern w:val="0"/>
                <w:sz w:val="24"/>
                <w:szCs w:val="24"/>
              </w:rPr>
              <w:t xml:space="preserve"> 大气污染源监测</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按照相关环保规定要求，排气筒应设置便于采样、监测的采样口和采样监测平台。排放废气的环境保护图形标志牌应设在排气筒附近地面醒目处。</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②</w:t>
            </w:r>
            <w:r>
              <w:rPr>
                <w:rFonts w:ascii="Times New Roman" w:hAnsi="Times New Roman" w:eastAsia="仿宋_GB2312"/>
                <w:snapToGrid w:val="0"/>
                <w:color w:val="000000"/>
                <w:kern w:val="0"/>
                <w:sz w:val="24"/>
                <w:szCs w:val="24"/>
              </w:rPr>
              <w:t xml:space="preserve"> 水污染源监测</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根据江苏省排污口规范化设置要求，对建设项目废水接管口的主要水污染物定期进行监测，并在接管口附近醒目处设置环境保护图形标志牌。</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hint="eastAsia" w:ascii="宋体" w:hAnsi="宋体" w:cs="宋体"/>
                <w:snapToGrid w:val="0"/>
                <w:color w:val="000000"/>
                <w:kern w:val="0"/>
                <w:sz w:val="24"/>
                <w:szCs w:val="24"/>
              </w:rPr>
              <w:t>③</w:t>
            </w:r>
            <w:r>
              <w:rPr>
                <w:rFonts w:ascii="Times New Roman" w:hAnsi="Times New Roman" w:eastAsia="仿宋_GB2312"/>
                <w:snapToGrid w:val="0"/>
                <w:color w:val="000000"/>
                <w:kern w:val="0"/>
                <w:sz w:val="24"/>
                <w:szCs w:val="24"/>
              </w:rPr>
              <w:t xml:space="preserve"> 噪声污染源监测</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定期对厂界进行噪声监测，一季度开展一次，并在噪声监测点附近醒目处设置环境保护图形标志牌。</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项目建成后污染源建议监测项目和监测频次如表7-24所示。</w:t>
            </w:r>
          </w:p>
          <w:p>
            <w:pPr>
              <w:pStyle w:val="121"/>
              <w:adjustRightInd w:val="0"/>
              <w:snapToGrid w:val="0"/>
              <w:spacing w:line="480" w:lineRule="exact"/>
              <w:rPr>
                <w:rFonts w:ascii="Times New Roman" w:hAnsi="Times New Roman" w:eastAsia="仿宋_GB2312"/>
                <w:snapToGrid w:val="0"/>
                <w:color w:val="000000"/>
              </w:rPr>
            </w:pPr>
            <w:r>
              <w:rPr>
                <w:rFonts w:ascii="Times New Roman" w:hAnsi="Times New Roman" w:eastAsia="仿宋_GB2312"/>
                <w:snapToGrid w:val="0"/>
                <w:color w:val="000000"/>
              </w:rPr>
              <w:t>表7-24监测因子及频次表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837"/>
              <w:gridCol w:w="1560"/>
              <w:gridCol w:w="1310"/>
              <w:gridCol w:w="2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pct"/>
                  <w:shd w:val="clear" w:color="auto" w:fill="auto"/>
                  <w:vAlign w:val="center"/>
                </w:tcPr>
                <w:p>
                  <w:pPr>
                    <w:pStyle w:val="241"/>
                    <w:adjustRightInd w:val="0"/>
                    <w:snapToGrid w:val="0"/>
                    <w:ind w:firstLine="0" w:firstLineChars="0"/>
                    <w:jc w:val="center"/>
                    <w:rPr>
                      <w:rFonts w:eastAsia="仿宋_GB2312" w:cs="Times New Roman"/>
                      <w:b/>
                      <w:bCs/>
                      <w:snapToGrid w:val="0"/>
                      <w:color w:val="000000"/>
                      <w:kern w:val="0"/>
                      <w:szCs w:val="21"/>
                    </w:rPr>
                  </w:pPr>
                  <w:r>
                    <w:rPr>
                      <w:rFonts w:eastAsia="仿宋_GB2312" w:cs="Times New Roman"/>
                      <w:b/>
                      <w:bCs/>
                      <w:snapToGrid w:val="0"/>
                      <w:color w:val="000000"/>
                      <w:kern w:val="0"/>
                      <w:szCs w:val="21"/>
                    </w:rPr>
                    <w:t>类别</w:t>
                  </w:r>
                </w:p>
              </w:tc>
              <w:tc>
                <w:tcPr>
                  <w:tcW w:w="1105" w:type="pct"/>
                  <w:shd w:val="clear" w:color="auto" w:fill="auto"/>
                  <w:vAlign w:val="center"/>
                </w:tcPr>
                <w:p>
                  <w:pPr>
                    <w:pStyle w:val="241"/>
                    <w:adjustRightInd w:val="0"/>
                    <w:snapToGrid w:val="0"/>
                    <w:ind w:firstLine="0" w:firstLineChars="0"/>
                    <w:jc w:val="center"/>
                    <w:rPr>
                      <w:rFonts w:eastAsia="仿宋_GB2312" w:cs="Times New Roman"/>
                      <w:b/>
                      <w:bCs/>
                      <w:snapToGrid w:val="0"/>
                      <w:color w:val="000000"/>
                      <w:kern w:val="0"/>
                      <w:szCs w:val="21"/>
                    </w:rPr>
                  </w:pPr>
                  <w:r>
                    <w:rPr>
                      <w:rFonts w:eastAsia="仿宋_GB2312" w:cs="Times New Roman"/>
                      <w:b/>
                      <w:bCs/>
                      <w:snapToGrid w:val="0"/>
                      <w:color w:val="000000"/>
                      <w:kern w:val="0"/>
                      <w:szCs w:val="21"/>
                    </w:rPr>
                    <w:t>监测位置</w:t>
                  </w:r>
                </w:p>
              </w:tc>
              <w:tc>
                <w:tcPr>
                  <w:tcW w:w="938" w:type="pct"/>
                  <w:shd w:val="clear" w:color="auto" w:fill="auto"/>
                  <w:vAlign w:val="center"/>
                </w:tcPr>
                <w:p>
                  <w:pPr>
                    <w:pStyle w:val="241"/>
                    <w:adjustRightInd w:val="0"/>
                    <w:snapToGrid w:val="0"/>
                    <w:ind w:firstLine="0" w:firstLineChars="0"/>
                    <w:jc w:val="center"/>
                    <w:rPr>
                      <w:rFonts w:eastAsia="仿宋_GB2312" w:cs="Times New Roman"/>
                      <w:b/>
                      <w:bCs/>
                      <w:snapToGrid w:val="0"/>
                      <w:color w:val="000000"/>
                      <w:kern w:val="0"/>
                      <w:szCs w:val="21"/>
                    </w:rPr>
                  </w:pPr>
                  <w:r>
                    <w:rPr>
                      <w:rFonts w:eastAsia="仿宋_GB2312" w:cs="Times New Roman"/>
                      <w:b/>
                      <w:bCs/>
                      <w:snapToGrid w:val="0"/>
                      <w:color w:val="000000"/>
                      <w:kern w:val="0"/>
                      <w:szCs w:val="21"/>
                    </w:rPr>
                    <w:t>监测项目</w:t>
                  </w:r>
                </w:p>
              </w:tc>
              <w:tc>
                <w:tcPr>
                  <w:tcW w:w="788" w:type="pct"/>
                  <w:shd w:val="clear" w:color="auto" w:fill="auto"/>
                  <w:vAlign w:val="center"/>
                </w:tcPr>
                <w:p>
                  <w:pPr>
                    <w:pStyle w:val="241"/>
                    <w:adjustRightInd w:val="0"/>
                    <w:snapToGrid w:val="0"/>
                    <w:ind w:firstLine="0" w:firstLineChars="0"/>
                    <w:jc w:val="center"/>
                    <w:rPr>
                      <w:rFonts w:eastAsia="仿宋_GB2312" w:cs="Times New Roman"/>
                      <w:b/>
                      <w:bCs/>
                      <w:snapToGrid w:val="0"/>
                      <w:color w:val="000000"/>
                      <w:kern w:val="0"/>
                      <w:szCs w:val="21"/>
                    </w:rPr>
                  </w:pPr>
                  <w:r>
                    <w:rPr>
                      <w:rFonts w:eastAsia="仿宋_GB2312" w:cs="Times New Roman"/>
                      <w:b/>
                      <w:bCs/>
                      <w:snapToGrid w:val="0"/>
                      <w:color w:val="000000"/>
                      <w:kern w:val="0"/>
                      <w:szCs w:val="21"/>
                    </w:rPr>
                    <w:t>监测频次</w:t>
                  </w:r>
                </w:p>
              </w:tc>
              <w:tc>
                <w:tcPr>
                  <w:tcW w:w="1655" w:type="pct"/>
                  <w:shd w:val="clear" w:color="auto" w:fill="auto"/>
                  <w:vAlign w:val="center"/>
                </w:tcPr>
                <w:p>
                  <w:pPr>
                    <w:pStyle w:val="241"/>
                    <w:adjustRightInd w:val="0"/>
                    <w:snapToGrid w:val="0"/>
                    <w:ind w:firstLine="0" w:firstLineChars="0"/>
                    <w:jc w:val="center"/>
                    <w:rPr>
                      <w:rFonts w:eastAsia="仿宋_GB2312" w:cs="Times New Roman"/>
                      <w:b/>
                      <w:bCs/>
                      <w:snapToGrid w:val="0"/>
                      <w:color w:val="000000"/>
                      <w:kern w:val="0"/>
                      <w:szCs w:val="21"/>
                    </w:rPr>
                  </w:pPr>
                  <w:r>
                    <w:rPr>
                      <w:rFonts w:eastAsia="仿宋_GB2312" w:cs="Times New Roman"/>
                      <w:b/>
                      <w:bCs/>
                      <w:snapToGrid w:val="0"/>
                      <w:color w:val="000000"/>
                      <w:kern w:val="0"/>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1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有组织废气</w:t>
                  </w:r>
                </w:p>
              </w:tc>
              <w:tc>
                <w:tcPr>
                  <w:tcW w:w="1105" w:type="pct"/>
                  <w:shd w:val="clear" w:color="auto" w:fill="auto"/>
                  <w:vAlign w:val="center"/>
                </w:tcPr>
                <w:p>
                  <w:pPr>
                    <w:pStyle w:val="36"/>
                    <w:adjustRightInd w:val="0"/>
                    <w:snapToGrid w:val="0"/>
                    <w:spacing w:after="0"/>
                    <w:ind w:firstLine="0" w:firstLineChars="0"/>
                    <w:jc w:val="center"/>
                    <w:rPr>
                      <w:rFonts w:eastAsia="仿宋_GB2312"/>
                      <w:snapToGrid w:val="0"/>
                      <w:color w:val="000000"/>
                      <w:kern w:val="0"/>
                      <w:szCs w:val="21"/>
                    </w:rPr>
                  </w:pPr>
                  <w:r>
                    <w:rPr>
                      <w:rFonts w:hint="eastAsia" w:eastAsia="仿宋_GB2312"/>
                      <w:snapToGrid w:val="0"/>
                      <w:color w:val="000000"/>
                      <w:kern w:val="0"/>
                      <w:szCs w:val="21"/>
                    </w:rPr>
                    <w:t>#</w:t>
                  </w:r>
                  <w:r>
                    <w:rPr>
                      <w:rFonts w:eastAsia="仿宋_GB2312"/>
                      <w:snapToGrid w:val="0"/>
                      <w:color w:val="000000"/>
                      <w:kern w:val="0"/>
                      <w:szCs w:val="21"/>
                    </w:rPr>
                    <w:t>1排气筒出口</w:t>
                  </w:r>
                </w:p>
              </w:tc>
              <w:tc>
                <w:tcPr>
                  <w:tcW w:w="938" w:type="pct"/>
                  <w:shd w:val="clear" w:color="auto" w:fill="auto"/>
                  <w:vAlign w:val="center"/>
                </w:tcPr>
                <w:p>
                  <w:pPr>
                    <w:pStyle w:val="36"/>
                    <w:adjustRightInd w:val="0"/>
                    <w:snapToGrid w:val="0"/>
                    <w:spacing w:after="0"/>
                    <w:ind w:firstLine="0" w:firstLineChars="0"/>
                    <w:jc w:val="center"/>
                    <w:rPr>
                      <w:rFonts w:eastAsia="仿宋_GB2312"/>
                      <w:snapToGrid w:val="0"/>
                      <w:color w:val="000000"/>
                      <w:kern w:val="0"/>
                      <w:szCs w:val="21"/>
                    </w:rPr>
                  </w:pPr>
                  <w:r>
                    <w:rPr>
                      <w:rFonts w:eastAsia="仿宋_GB2312"/>
                      <w:snapToGrid w:val="0"/>
                      <w:color w:val="000000"/>
                      <w:kern w:val="0"/>
                      <w:szCs w:val="21"/>
                    </w:rPr>
                    <w:t>VOCs、氯化氢、氮氧化物、硫酸雾、氟化物</w:t>
                  </w:r>
                </w:p>
              </w:tc>
              <w:tc>
                <w:tcPr>
                  <w:tcW w:w="788"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1次/年</w:t>
                  </w:r>
                </w:p>
              </w:tc>
              <w:tc>
                <w:tcPr>
                  <w:tcW w:w="1655" w:type="pct"/>
                  <w:vMerge w:val="restart"/>
                  <w:shd w:val="clear" w:color="auto" w:fill="auto"/>
                  <w:vAlign w:val="center"/>
                </w:tcPr>
                <w:p>
                  <w:pPr>
                    <w:pStyle w:val="36"/>
                    <w:adjustRightInd w:val="0"/>
                    <w:snapToGrid w:val="0"/>
                    <w:spacing w:after="0"/>
                    <w:ind w:firstLine="0" w:firstLineChars="0"/>
                    <w:jc w:val="center"/>
                    <w:rPr>
                      <w:rFonts w:eastAsia="仿宋_GB2312"/>
                      <w:snapToGrid w:val="0"/>
                      <w:color w:val="000000"/>
                      <w:kern w:val="0"/>
                      <w:szCs w:val="21"/>
                    </w:rPr>
                  </w:pPr>
                  <w:r>
                    <w:rPr>
                      <w:rFonts w:eastAsia="仿宋_GB2312"/>
                      <w:snapToGrid w:val="0"/>
                      <w:color w:val="000000"/>
                      <w:kern w:val="0"/>
                      <w:szCs w:val="21"/>
                    </w:rPr>
                    <w:t>VOCs执行天津市地方标准《工业企业挥发性有机物排放控制标准》（DB12/524-2014），氯化氢、氮氧化物、硫酸雾、氟化物执行《大气污染物综合排放标准》（GB 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无组织废气</w:t>
                  </w:r>
                </w:p>
              </w:tc>
              <w:tc>
                <w:tcPr>
                  <w:tcW w:w="110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在上风向设置1个监测点，下风向以扇形分布设置3个监测点</w:t>
                  </w:r>
                </w:p>
              </w:tc>
              <w:tc>
                <w:tcPr>
                  <w:tcW w:w="938" w:type="pct"/>
                  <w:shd w:val="clear" w:color="auto" w:fill="auto"/>
                  <w:vAlign w:val="center"/>
                </w:tcPr>
                <w:p>
                  <w:pPr>
                    <w:pStyle w:val="36"/>
                    <w:adjustRightInd w:val="0"/>
                    <w:snapToGrid w:val="0"/>
                    <w:spacing w:after="0"/>
                    <w:ind w:firstLine="0" w:firstLineChars="0"/>
                    <w:jc w:val="center"/>
                    <w:rPr>
                      <w:rFonts w:eastAsia="仿宋_GB2312"/>
                      <w:snapToGrid w:val="0"/>
                      <w:color w:val="000000"/>
                      <w:kern w:val="0"/>
                      <w:szCs w:val="21"/>
                    </w:rPr>
                  </w:pPr>
                  <w:r>
                    <w:rPr>
                      <w:rFonts w:eastAsia="仿宋_GB2312"/>
                      <w:snapToGrid w:val="0"/>
                      <w:color w:val="000000"/>
                      <w:kern w:val="0"/>
                      <w:szCs w:val="21"/>
                    </w:rPr>
                    <w:t>VOCs、氯化氢、氮氧化物、硫酸雾、氟化物</w:t>
                  </w:r>
                </w:p>
              </w:tc>
              <w:tc>
                <w:tcPr>
                  <w:tcW w:w="788"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1次/年</w:t>
                  </w:r>
                </w:p>
              </w:tc>
              <w:tc>
                <w:tcPr>
                  <w:tcW w:w="1655" w:type="pct"/>
                  <w:vMerge w:val="continue"/>
                  <w:shd w:val="clear" w:color="auto" w:fill="auto"/>
                  <w:vAlign w:val="center"/>
                </w:tcPr>
                <w:p>
                  <w:pPr>
                    <w:pStyle w:val="36"/>
                    <w:adjustRightInd w:val="0"/>
                    <w:snapToGrid w:val="0"/>
                    <w:spacing w:after="0"/>
                    <w:ind w:firstLine="0" w:firstLineChars="0"/>
                    <w:jc w:val="center"/>
                    <w:rPr>
                      <w:rFonts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废水</w:t>
                  </w:r>
                </w:p>
              </w:tc>
              <w:tc>
                <w:tcPr>
                  <w:tcW w:w="110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废水总排口</w:t>
                  </w:r>
                </w:p>
              </w:tc>
              <w:tc>
                <w:tcPr>
                  <w:tcW w:w="938" w:type="pct"/>
                  <w:shd w:val="clear" w:color="auto" w:fill="auto"/>
                  <w:vAlign w:val="center"/>
                </w:tcPr>
                <w:p>
                  <w:pPr>
                    <w:pStyle w:val="253"/>
                    <w:rPr>
                      <w:rFonts w:eastAsia="仿宋_GB2312"/>
                      <w:snapToGrid w:val="0"/>
                      <w:color w:val="000000"/>
                    </w:rPr>
                  </w:pPr>
                  <w:r>
                    <w:rPr>
                      <w:rFonts w:eastAsia="仿宋_GB2312"/>
                      <w:snapToGrid w:val="0"/>
                      <w:color w:val="000000"/>
                    </w:rPr>
                    <w:t>COD、SS、NH</w:t>
                  </w:r>
                  <w:r>
                    <w:rPr>
                      <w:rFonts w:eastAsia="仿宋_GB2312"/>
                      <w:snapToGrid w:val="0"/>
                      <w:color w:val="000000"/>
                      <w:vertAlign w:val="subscript"/>
                    </w:rPr>
                    <w:t>3</w:t>
                  </w:r>
                  <w:r>
                    <w:rPr>
                      <w:rFonts w:eastAsia="仿宋_GB2312"/>
                      <w:snapToGrid w:val="0"/>
                      <w:color w:val="000000"/>
                    </w:rPr>
                    <w:t>-N、总磷</w:t>
                  </w:r>
                  <w:r>
                    <w:rPr>
                      <w:rFonts w:hint="eastAsia" w:eastAsia="仿宋_GB2312"/>
                      <w:snapToGrid w:val="0"/>
                      <w:color w:val="000000"/>
                    </w:rPr>
                    <w:t>、氟化物、L</w:t>
                  </w:r>
                  <w:r>
                    <w:rPr>
                      <w:rFonts w:eastAsia="仿宋_GB2312"/>
                      <w:snapToGrid w:val="0"/>
                      <w:color w:val="000000"/>
                    </w:rPr>
                    <w:t>AS等</w:t>
                  </w:r>
                </w:p>
              </w:tc>
              <w:tc>
                <w:tcPr>
                  <w:tcW w:w="788"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1次/季度</w:t>
                  </w:r>
                </w:p>
              </w:tc>
              <w:tc>
                <w:tcPr>
                  <w:tcW w:w="165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hint="eastAsia" w:eastAsia="仿宋_GB2312" w:cs="Times New Roman"/>
                      <w:snapToGrid w:val="0"/>
                      <w:color w:val="000000"/>
                      <w:kern w:val="0"/>
                      <w:szCs w:val="21"/>
                    </w:rPr>
                    <w:t>接管废水排放标准执行《污水排入城镇下水道水质标准》（GB/T 31962-2015）表1中B级标准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噪声</w:t>
                  </w:r>
                </w:p>
              </w:tc>
              <w:tc>
                <w:tcPr>
                  <w:tcW w:w="110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厂界外1米</w:t>
                  </w:r>
                </w:p>
              </w:tc>
              <w:tc>
                <w:tcPr>
                  <w:tcW w:w="938"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连续等效A声级</w:t>
                  </w:r>
                </w:p>
              </w:tc>
              <w:tc>
                <w:tcPr>
                  <w:tcW w:w="788"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1次/季度</w:t>
                  </w:r>
                </w:p>
              </w:tc>
              <w:tc>
                <w:tcPr>
                  <w:tcW w:w="1655" w:type="pct"/>
                  <w:shd w:val="clear" w:color="auto" w:fill="auto"/>
                  <w:vAlign w:val="center"/>
                </w:tcPr>
                <w:p>
                  <w:pPr>
                    <w:pStyle w:val="241"/>
                    <w:adjustRightInd w:val="0"/>
                    <w:snapToGrid w:val="0"/>
                    <w:ind w:firstLine="0" w:firstLineChars="0"/>
                    <w:jc w:val="center"/>
                    <w:rPr>
                      <w:rFonts w:eastAsia="仿宋_GB2312" w:cs="Times New Roman"/>
                      <w:snapToGrid w:val="0"/>
                      <w:color w:val="000000"/>
                      <w:kern w:val="0"/>
                      <w:szCs w:val="21"/>
                    </w:rPr>
                  </w:pPr>
                  <w:r>
                    <w:rPr>
                      <w:rFonts w:eastAsia="仿宋_GB2312" w:cs="Times New Roman"/>
                      <w:snapToGrid w:val="0"/>
                      <w:color w:val="000000"/>
                      <w:kern w:val="0"/>
                      <w:szCs w:val="21"/>
                    </w:rPr>
                    <w:t>《工业企业厂界环境噪声排放标准》（GB12348-2008）</w:t>
                  </w:r>
                </w:p>
              </w:tc>
            </w:tr>
          </w:tbl>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（8）排污口设置</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项目设1个废气排口，位于项目所在的凤凰西街241号北楼</w:t>
            </w:r>
            <w:r>
              <w:rPr>
                <w:rFonts w:hint="eastAsia" w:ascii="Times New Roman" w:hAnsi="Times New Roman" w:eastAsia="仿宋_GB2312"/>
                <w:snapToGrid w:val="0"/>
                <w:color w:val="000000"/>
                <w:kern w:val="0"/>
                <w:sz w:val="24"/>
                <w:szCs w:val="24"/>
              </w:rPr>
              <w:t>西侧</w:t>
            </w:r>
            <w:r>
              <w:rPr>
                <w:rFonts w:ascii="Times New Roman" w:hAnsi="Times New Roman" w:eastAsia="仿宋_GB2312"/>
                <w:snapToGrid w:val="0"/>
                <w:color w:val="000000"/>
                <w:kern w:val="0"/>
                <w:sz w:val="24"/>
                <w:szCs w:val="24"/>
              </w:rPr>
              <w:t>，排气筒高25米，废气排气筒应设置便于采样、监测的采样口，采样口的设置应符合</w:t>
            </w:r>
            <w:r>
              <w:rPr>
                <w:rFonts w:hint="eastAsia" w:ascii="Times New Roman" w:hAnsi="Times New Roman" w:eastAsia="仿宋_GB2312"/>
                <w:snapToGrid w:val="0"/>
                <w:color w:val="000000"/>
                <w:kern w:val="0"/>
                <w:sz w:val="24"/>
                <w:szCs w:val="24"/>
              </w:rPr>
              <w:t>相关排污口监测技术</w:t>
            </w:r>
            <w:r>
              <w:rPr>
                <w:rFonts w:ascii="Times New Roman" w:hAnsi="Times New Roman" w:eastAsia="仿宋_GB2312"/>
                <w:snapToGrid w:val="0"/>
                <w:color w:val="000000"/>
                <w:kern w:val="0"/>
                <w:sz w:val="24"/>
                <w:szCs w:val="24"/>
              </w:rPr>
              <w:t>要求，并在排气筒附近醒目处设置标志牌，标明排气筒高度、出口内径、排放污染物种类等。</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项目废水依托凤凰西街241号现有污水排口，不单独设置排污口，废水预处理设施</w:t>
            </w:r>
            <w:r>
              <w:rPr>
                <w:rFonts w:hint="eastAsia" w:ascii="Times New Roman" w:hAnsi="Times New Roman" w:eastAsia="仿宋_GB2312"/>
                <w:snapToGrid w:val="0"/>
                <w:color w:val="000000"/>
                <w:kern w:val="0"/>
                <w:sz w:val="24"/>
                <w:szCs w:val="24"/>
              </w:rPr>
              <w:t>（化粪池）</w:t>
            </w:r>
            <w:r>
              <w:rPr>
                <w:rFonts w:ascii="Times New Roman" w:hAnsi="Times New Roman" w:eastAsia="仿宋_GB2312"/>
                <w:snapToGrid w:val="0"/>
                <w:color w:val="000000"/>
                <w:kern w:val="0"/>
                <w:sz w:val="24"/>
                <w:szCs w:val="24"/>
              </w:rPr>
              <w:t>设置标志，明确水污染物的种类，</w:t>
            </w:r>
            <w:r>
              <w:rPr>
                <w:rFonts w:hint="eastAsia" w:ascii="Times New Roman" w:hAnsi="Times New Roman" w:eastAsia="仿宋_GB2312"/>
                <w:snapToGrid w:val="0"/>
                <w:color w:val="000000"/>
                <w:kern w:val="0"/>
                <w:sz w:val="24"/>
                <w:szCs w:val="24"/>
              </w:rPr>
              <w:t>化粪池</w:t>
            </w:r>
            <w:r>
              <w:rPr>
                <w:rFonts w:ascii="Times New Roman" w:hAnsi="Times New Roman" w:eastAsia="仿宋_GB2312"/>
                <w:snapToGrid w:val="0"/>
                <w:color w:val="000000"/>
                <w:kern w:val="0"/>
                <w:sz w:val="24"/>
                <w:szCs w:val="24"/>
              </w:rPr>
              <w:t>留有便于采样的位置。</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危险废物仓库应设置标志牌。</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（9）建设项目“三同时”验收一览表及环保投资</w:t>
            </w:r>
          </w:p>
          <w:p>
            <w:pPr>
              <w:adjustRightInd w:val="0"/>
              <w:snapToGrid w:val="0"/>
              <w:spacing w:line="500" w:lineRule="exact"/>
              <w:ind w:firstLine="480" w:firstLineChars="200"/>
              <w:rPr>
                <w:rFonts w:ascii="Times New Roman" w:hAnsi="Times New Roman" w:eastAsia="仿宋_GB2312"/>
                <w:snapToGrid w:val="0"/>
                <w:color w:val="000000"/>
                <w:kern w:val="0"/>
                <w:sz w:val="24"/>
                <w:szCs w:val="24"/>
              </w:rPr>
            </w:pPr>
            <w:r>
              <w:rPr>
                <w:rFonts w:ascii="Times New Roman" w:hAnsi="Times New Roman" w:eastAsia="仿宋_GB2312"/>
                <w:snapToGrid w:val="0"/>
                <w:color w:val="000000"/>
                <w:kern w:val="0"/>
                <w:sz w:val="24"/>
                <w:szCs w:val="24"/>
              </w:rPr>
              <w:t>建设项目环境保护投资估算及“三同时”验收一览表，见表7-25。</w:t>
            </w:r>
          </w:p>
          <w:p>
            <w:pPr>
              <w:adjustRightInd w:val="0"/>
              <w:snapToGrid w:val="0"/>
              <w:spacing w:line="480" w:lineRule="exact"/>
              <w:jc w:val="center"/>
              <w:rPr>
                <w:rFonts w:ascii="Times New Roman" w:hAnsi="Times New Roman" w:eastAsia="仿宋_GB2312"/>
                <w:snapToGrid w:val="0"/>
                <w:color w:val="000000"/>
                <w:kern w:val="0"/>
                <w:sz w:val="24"/>
                <w:szCs w:val="24"/>
              </w:rPr>
            </w:pPr>
            <w:r>
              <w:rPr>
                <w:rFonts w:ascii="Times New Roman" w:hAnsi="Times New Roman" w:eastAsia="仿宋_GB2312"/>
                <w:b/>
                <w:snapToGrid w:val="0"/>
                <w:color w:val="000000"/>
                <w:kern w:val="0"/>
                <w:sz w:val="24"/>
                <w:szCs w:val="24"/>
              </w:rPr>
              <w:t>表7-25 建设项目“三同时”验收一览表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53"/>
              <w:gridCol w:w="1415"/>
              <w:gridCol w:w="1561"/>
              <w:gridCol w:w="2298"/>
              <w:gridCol w:w="828"/>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项目名称</w:t>
                  </w:r>
                </w:p>
              </w:tc>
              <w:tc>
                <w:tcPr>
                  <w:tcW w:w="4576" w:type="pct"/>
                  <w:gridSpan w:val="6"/>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实验与分析测试中心项目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类别</w:t>
                  </w:r>
                </w:p>
              </w:tc>
              <w:tc>
                <w:tcPr>
                  <w:tcW w:w="513"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污染源</w:t>
                  </w:r>
                </w:p>
              </w:tc>
              <w:tc>
                <w:tcPr>
                  <w:tcW w:w="851"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污染物</w:t>
                  </w:r>
                </w:p>
              </w:tc>
              <w:tc>
                <w:tcPr>
                  <w:tcW w:w="939"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治理措施（建设数量、规模、处理能力等）</w:t>
                  </w:r>
                </w:p>
              </w:tc>
              <w:tc>
                <w:tcPr>
                  <w:tcW w:w="1382"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处理效果、执行标准或拟达要求</w:t>
                  </w:r>
                </w:p>
              </w:tc>
              <w:tc>
                <w:tcPr>
                  <w:tcW w:w="498"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环保</w:t>
                  </w:r>
                </w:p>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投资</w:t>
                  </w:r>
                </w:p>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（万元）</w:t>
                  </w:r>
                </w:p>
              </w:tc>
              <w:tc>
                <w:tcPr>
                  <w:tcW w:w="393" w:type="pct"/>
                  <w:shd w:val="clear" w:color="auto" w:fill="auto"/>
                  <w:vAlign w:val="center"/>
                </w:tcPr>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完成</w:t>
                  </w:r>
                </w:p>
                <w:p>
                  <w:pPr>
                    <w:adjustRightInd w:val="0"/>
                    <w:snapToGrid w:val="0"/>
                    <w:jc w:val="center"/>
                    <w:rPr>
                      <w:rFonts w:ascii="Times New Roman" w:hAnsi="Times New Roman" w:eastAsia="仿宋_GB2312"/>
                      <w:b/>
                      <w:snapToGrid w:val="0"/>
                      <w:color w:val="000000"/>
                      <w:kern w:val="0"/>
                      <w:szCs w:val="21"/>
                    </w:rPr>
                  </w:pPr>
                  <w:r>
                    <w:rPr>
                      <w:rFonts w:ascii="Times New Roman" w:hAnsi="Times New Roman" w:eastAsia="仿宋_GB2312"/>
                      <w:b/>
                      <w:snapToGrid w:val="0"/>
                      <w:color w:val="000000"/>
                      <w:kern w:val="0"/>
                      <w:szCs w:val="21"/>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废气</w:t>
                  </w:r>
                </w:p>
              </w:tc>
              <w:tc>
                <w:tcPr>
                  <w:tcW w:w="513"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检验检测</w:t>
                  </w: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VOCs、氯化氢、氮氧化物、硫酸雾、氟化物</w:t>
                  </w:r>
                </w:p>
              </w:tc>
              <w:tc>
                <w:tcPr>
                  <w:tcW w:w="939"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通风橱、集气罩、</w:t>
                  </w:r>
                  <w:r>
                    <w:rPr>
                      <w:rFonts w:hint="eastAsia" w:ascii="Times New Roman" w:hAnsi="Times New Roman" w:eastAsia="仿宋_GB2312"/>
                      <w:snapToGrid w:val="0"/>
                      <w:color w:val="000000"/>
                      <w:kern w:val="0"/>
                      <w:szCs w:val="21"/>
                    </w:rPr>
                    <w:t>1台风机、</w:t>
                  </w:r>
                  <w:r>
                    <w:rPr>
                      <w:rFonts w:ascii="Times New Roman" w:hAnsi="Times New Roman" w:eastAsia="仿宋_GB2312"/>
                      <w:snapToGrid w:val="0"/>
                      <w:color w:val="000000"/>
                      <w:kern w:val="0"/>
                      <w:szCs w:val="21"/>
                    </w:rPr>
                    <w:t>1套活性炭吸附处理装置、1个25米排气筒</w:t>
                  </w:r>
                </w:p>
              </w:tc>
              <w:tc>
                <w:tcPr>
                  <w:tcW w:w="138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VOCs排放满足天津市《工业企业挥发性有机物排放控制标准》（DB 12/524-2014）表2中其他行业标准，氯化氢、氮氧化物、硫酸雾、氟化物执行《大气污染物综合排放标准》（GB 16297-1996）表2二级标准</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87.8</w:t>
                  </w:r>
                </w:p>
              </w:tc>
              <w:tc>
                <w:tcPr>
                  <w:tcW w:w="393"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与建设项目主体工程同时设计、</w:t>
                  </w:r>
                </w:p>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同时开工、同时建成运行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废水</w:t>
                  </w:r>
                </w:p>
              </w:tc>
              <w:tc>
                <w:tcPr>
                  <w:tcW w:w="513"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生活污水</w:t>
                  </w: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COD、SS、氨氮、总磷</w:t>
                  </w:r>
                </w:p>
              </w:tc>
              <w:tc>
                <w:tcPr>
                  <w:tcW w:w="939"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依托凤凰西街241号化粪池</w:t>
                  </w:r>
                </w:p>
              </w:tc>
              <w:tc>
                <w:tcPr>
                  <w:tcW w:w="1382"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实验废水与生活污水一并通过化粪池处理达接管标准后，接管市政污水管网，排至江心洲污水处理厂处理，尾水最终排至长江。接管废水排放标准执行《污水排入城镇下水道水质标准》（GB/T 31962-2015）表1中B级标准。尾水排放标准执行《城镇污水处理厂污染物排放标准》（GB18918-2002）表1中一级A标准。氟化物(以F</w:t>
                  </w:r>
                  <w:r>
                    <w:rPr>
                      <w:rFonts w:ascii="Times New Roman" w:hAnsi="Times New Roman" w:eastAsia="仿宋_GB2312"/>
                      <w:snapToGrid w:val="0"/>
                      <w:color w:val="000000"/>
                      <w:kern w:val="0"/>
                      <w:szCs w:val="21"/>
                      <w:vertAlign w:val="superscript"/>
                    </w:rPr>
                    <w:t>-</w:t>
                  </w:r>
                  <w:r>
                    <w:rPr>
                      <w:rFonts w:ascii="Times New Roman" w:hAnsi="Times New Roman" w:eastAsia="仿宋_GB2312"/>
                      <w:snapToGrid w:val="0"/>
                      <w:color w:val="000000"/>
                      <w:kern w:val="0"/>
                      <w:szCs w:val="21"/>
                    </w:rPr>
                    <w:t>计)执行《污水综合排放标准》（GB 8978-1996）一级标准。</w:t>
                  </w:r>
                </w:p>
              </w:tc>
              <w:tc>
                <w:tcPr>
                  <w:tcW w:w="498"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w:t>
                  </w: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反冲洗废水和反渗透浓水</w:t>
                  </w: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COD、SS、氨氮、总磷</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实验仪器及器皿清洗废水</w:t>
                  </w: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COD、SS、氨氮、总磷</w:t>
                  </w:r>
                  <w:r>
                    <w:rPr>
                      <w:rFonts w:hint="eastAsia" w:ascii="Times New Roman" w:hAnsi="Times New Roman" w:eastAsia="仿宋_GB2312"/>
                      <w:snapToGrid w:val="0"/>
                      <w:color w:val="000000"/>
                      <w:kern w:val="0"/>
                      <w:szCs w:val="21"/>
                    </w:rPr>
                    <w:t>、氟化物、L</w:t>
                  </w:r>
                  <w:r>
                    <w:rPr>
                      <w:rFonts w:ascii="Times New Roman" w:hAnsi="Times New Roman" w:eastAsia="仿宋_GB2312"/>
                      <w:snapToGrid w:val="0"/>
                      <w:color w:val="000000"/>
                      <w:kern w:val="0"/>
                      <w:szCs w:val="21"/>
                    </w:rPr>
                    <w:t>AS</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循环冷却系统废水</w:t>
                  </w:r>
                </w:p>
              </w:tc>
              <w:tc>
                <w:tcPr>
                  <w:tcW w:w="851"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COD、SS、氨氮、总磷</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24" w:type="pct"/>
                  <w:vMerge w:val="continue"/>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实验室台面及地面擦洗废水</w:t>
                  </w:r>
                </w:p>
              </w:tc>
              <w:tc>
                <w:tcPr>
                  <w:tcW w:w="851" w:type="pct"/>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COD、SS、氨氮、总磷</w:t>
                  </w:r>
                  <w:r>
                    <w:rPr>
                      <w:rFonts w:hint="eastAsia" w:ascii="Times New Roman" w:hAnsi="Times New Roman" w:eastAsia="仿宋_GB2312"/>
                      <w:snapToGrid w:val="0"/>
                      <w:color w:val="000000"/>
                      <w:kern w:val="0"/>
                      <w:szCs w:val="21"/>
                    </w:rPr>
                    <w:t>、氟化物</w:t>
                  </w:r>
                </w:p>
              </w:tc>
              <w:tc>
                <w:tcPr>
                  <w:tcW w:w="939" w:type="pct"/>
                  <w:vMerge w:val="continue"/>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tcBorders>
                    <w:bottom w:val="single" w:color="auto" w:sz="4" w:space="0"/>
                  </w:tcBorders>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固废</w:t>
                  </w:r>
                </w:p>
              </w:tc>
              <w:tc>
                <w:tcPr>
                  <w:tcW w:w="513"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办公、生活、生产</w:t>
                  </w: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生活垃圾</w:t>
                  </w:r>
                </w:p>
              </w:tc>
              <w:tc>
                <w:tcPr>
                  <w:tcW w:w="939"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若干垃圾桶，环卫清运</w:t>
                  </w:r>
                </w:p>
              </w:tc>
              <w:tc>
                <w:tcPr>
                  <w:tcW w:w="1382"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安全处置</w:t>
                  </w:r>
                </w:p>
              </w:tc>
              <w:tc>
                <w:tcPr>
                  <w:tcW w:w="498"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0.2</w:t>
                  </w: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反渗透</w:t>
                  </w:r>
                  <w:r>
                    <w:rPr>
                      <w:rFonts w:ascii="Times New Roman" w:hAnsi="Times New Roman" w:eastAsia="仿宋_GB2312"/>
                      <w:color w:val="000000"/>
                      <w:szCs w:val="21"/>
                    </w:rPr>
                    <w:t>膜</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玻璃器皿</w:t>
                  </w:r>
                  <w:r>
                    <w:rPr>
                      <w:rFonts w:ascii="Times New Roman" w:hAnsi="Times New Roman" w:eastAsia="仿宋_GB2312"/>
                      <w:color w:val="000000"/>
                      <w:szCs w:val="21"/>
                    </w:rPr>
                    <w:t>等耗材</w:t>
                  </w:r>
                </w:p>
              </w:tc>
              <w:tc>
                <w:tcPr>
                  <w:tcW w:w="939"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危险废物仓库 20m</w:t>
                  </w:r>
                  <w:r>
                    <w:rPr>
                      <w:rFonts w:ascii="Times New Roman" w:hAnsi="Times New Roman" w:eastAsia="仿宋_GB2312"/>
                      <w:snapToGrid w:val="0"/>
                      <w:color w:val="000000"/>
                      <w:kern w:val="0"/>
                      <w:szCs w:val="21"/>
                      <w:vertAlign w:val="superscript"/>
                    </w:rPr>
                    <w:t>2</w:t>
                  </w:r>
                  <w:r>
                    <w:rPr>
                      <w:rFonts w:ascii="Times New Roman" w:hAnsi="Times New Roman" w:eastAsia="仿宋_GB2312"/>
                      <w:snapToGrid w:val="0"/>
                      <w:color w:val="000000"/>
                      <w:kern w:val="0"/>
                      <w:szCs w:val="21"/>
                    </w:rPr>
                    <w:t>，委托有资质单位处置</w:t>
                  </w:r>
                </w:p>
              </w:tc>
              <w:tc>
                <w:tcPr>
                  <w:tcW w:w="1382"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满足《危险废物贮存污染控制标准》（GB18597-2001）及其修改单要求。</w:t>
                  </w:r>
                </w:p>
              </w:tc>
              <w:tc>
                <w:tcPr>
                  <w:tcW w:w="498" w:type="pct"/>
                  <w:vMerge w:val="restar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w:t>
                  </w: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废试剂瓶</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废药剂包装</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废固体</w:t>
                  </w:r>
                  <w:r>
                    <w:rPr>
                      <w:rFonts w:hint="eastAsia" w:ascii="Times New Roman" w:hAnsi="Times New Roman" w:eastAsia="仿宋_GB2312"/>
                      <w:color w:val="000000"/>
                      <w:szCs w:val="21"/>
                    </w:rPr>
                    <w:t>、液体</w:t>
                  </w:r>
                  <w:r>
                    <w:rPr>
                      <w:rFonts w:ascii="Times New Roman" w:hAnsi="Times New Roman" w:eastAsia="仿宋_GB2312"/>
                      <w:color w:val="000000"/>
                      <w:szCs w:val="21"/>
                    </w:rPr>
                    <w:t>样品</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科研、检测废液及前两道清洗废液</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过期化学品</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51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color w:val="000000"/>
                      <w:szCs w:val="21"/>
                    </w:rPr>
                    <w:t>废活性炭</w:t>
                  </w:r>
                </w:p>
              </w:tc>
              <w:tc>
                <w:tcPr>
                  <w:tcW w:w="939"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1382"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498"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噪声</w:t>
                  </w:r>
                </w:p>
              </w:tc>
              <w:tc>
                <w:tcPr>
                  <w:tcW w:w="513"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hint="eastAsia" w:ascii="Times New Roman" w:hAnsi="Times New Roman" w:eastAsia="仿宋_GB2312"/>
                      <w:snapToGrid w:val="0"/>
                      <w:color w:val="000000"/>
                      <w:kern w:val="0"/>
                      <w:szCs w:val="21"/>
                    </w:rPr>
                    <w:t>风机、空调外机</w:t>
                  </w:r>
                </w:p>
              </w:tc>
              <w:tc>
                <w:tcPr>
                  <w:tcW w:w="851"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噪声</w:t>
                  </w:r>
                </w:p>
              </w:tc>
              <w:tc>
                <w:tcPr>
                  <w:tcW w:w="939"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选用低噪声设备、</w:t>
                  </w:r>
                  <w:r>
                    <w:rPr>
                      <w:rFonts w:hint="eastAsia" w:ascii="Times New Roman" w:hAnsi="Times New Roman" w:eastAsia="仿宋_GB2312"/>
                      <w:snapToGrid w:val="0"/>
                      <w:color w:val="000000"/>
                      <w:kern w:val="0"/>
                      <w:szCs w:val="21"/>
                    </w:rPr>
                    <w:t>设备隔声、</w:t>
                  </w:r>
                  <w:r>
                    <w:rPr>
                      <w:rFonts w:ascii="Times New Roman" w:hAnsi="Times New Roman" w:eastAsia="仿宋_GB2312"/>
                      <w:snapToGrid w:val="0"/>
                      <w:color w:val="000000"/>
                      <w:kern w:val="0"/>
                      <w:szCs w:val="21"/>
                    </w:rPr>
                    <w:t>基础减振</w:t>
                  </w:r>
                </w:p>
              </w:tc>
              <w:tc>
                <w:tcPr>
                  <w:tcW w:w="138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满足《工业企业厂界环境噪声排放标准》（GB12348-2008）2类</w:t>
                  </w:r>
                  <w:r>
                    <w:rPr>
                      <w:rFonts w:hint="eastAsia" w:ascii="Times New Roman" w:hAnsi="Times New Roman" w:eastAsia="仿宋_GB2312"/>
                      <w:snapToGrid w:val="0"/>
                      <w:color w:val="000000"/>
                      <w:kern w:val="0"/>
                      <w:szCs w:val="21"/>
                    </w:rPr>
                    <w:t>及4类</w:t>
                  </w:r>
                  <w:r>
                    <w:rPr>
                      <w:rFonts w:ascii="Times New Roman" w:hAnsi="Times New Roman" w:eastAsia="仿宋_GB2312"/>
                      <w:snapToGrid w:val="0"/>
                      <w:color w:val="000000"/>
                      <w:kern w:val="0"/>
                      <w:szCs w:val="21"/>
                    </w:rPr>
                    <w:t>标准要求</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w:t>
                  </w: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gridSpan w:val="2"/>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绿化</w:t>
                  </w:r>
                </w:p>
              </w:tc>
              <w:tc>
                <w:tcPr>
                  <w:tcW w:w="1790" w:type="pct"/>
                  <w:gridSpan w:val="2"/>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依托凤凰西街241号现有绿化</w:t>
                  </w:r>
                </w:p>
              </w:tc>
              <w:tc>
                <w:tcPr>
                  <w:tcW w:w="1382"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w:t>
                  </w: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gridSpan w:val="2"/>
                  <w:shd w:val="clear" w:color="auto" w:fill="auto"/>
                  <w:vAlign w:val="center"/>
                </w:tcPr>
                <w:p>
                  <w:pPr>
                    <w:rPr>
                      <w:rFonts w:ascii="Times New Roman" w:hAnsi="Times New Roman" w:eastAsia="仿宋_GB2312"/>
                    </w:rPr>
                  </w:pPr>
                  <w:r>
                    <w:rPr>
                      <w:rFonts w:ascii="Times New Roman" w:hAnsi="Times New Roman" w:eastAsia="仿宋_GB2312"/>
                    </w:rPr>
                    <w:t>清污分流、排污口规范化设置（流量计、在线监测仪等）</w:t>
                  </w:r>
                </w:p>
              </w:tc>
              <w:tc>
                <w:tcPr>
                  <w:tcW w:w="3172" w:type="pct"/>
                  <w:gridSpan w:val="3"/>
                  <w:shd w:val="clear" w:color="auto" w:fill="auto"/>
                  <w:vAlign w:val="center"/>
                </w:tcPr>
                <w:p>
                  <w:pPr>
                    <w:rPr>
                      <w:rFonts w:ascii="Times New Roman" w:hAnsi="Times New Roman" w:eastAsia="仿宋_GB2312"/>
                    </w:rPr>
                  </w:pPr>
                  <w:r>
                    <w:rPr>
                      <w:rFonts w:hint="eastAsia" w:ascii="Times New Roman" w:hAnsi="Times New Roman" w:eastAsia="仿宋_GB2312"/>
                    </w:rPr>
                    <w:t>项目所在地设置雨水管网和污水管网，雨水排入雨水管网，</w:t>
                  </w:r>
                  <w:r>
                    <w:rPr>
                      <w:rFonts w:ascii="Times New Roman" w:hAnsi="Times New Roman" w:eastAsia="仿宋_GB2312"/>
                    </w:rPr>
                    <w:t>实验废水及生活污水排入污水管网，</w:t>
                  </w:r>
                  <w:r>
                    <w:rPr>
                      <w:rFonts w:hint="eastAsia" w:ascii="Times New Roman" w:hAnsi="Times New Roman" w:eastAsia="仿宋_GB2312"/>
                    </w:rPr>
                    <w:t>雨水、</w:t>
                  </w:r>
                  <w:r>
                    <w:rPr>
                      <w:rFonts w:ascii="Times New Roman" w:hAnsi="Times New Roman" w:eastAsia="仿宋_GB2312"/>
                    </w:rPr>
                    <w:t>污水排口、噪声设备应按照规范设置标识，醒目处树立环保图形标志牌。</w:t>
                  </w:r>
                  <w:r>
                    <w:rPr>
                      <w:rFonts w:hint="eastAsia" w:ascii="Times New Roman" w:hAnsi="Times New Roman" w:eastAsia="仿宋_GB2312"/>
                    </w:rPr>
                    <w:t>废水排污口设置截止阀。</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gridSpan w:val="2"/>
                  <w:shd w:val="clear" w:color="auto" w:fill="auto"/>
                  <w:vAlign w:val="center"/>
                </w:tcPr>
                <w:p>
                  <w:pPr>
                    <w:rPr>
                      <w:rFonts w:ascii="Times New Roman" w:hAnsi="Times New Roman" w:eastAsia="仿宋_GB2312"/>
                    </w:rPr>
                  </w:pPr>
                  <w:r>
                    <w:rPr>
                      <w:rFonts w:ascii="Times New Roman" w:hAnsi="Times New Roman" w:eastAsia="仿宋_GB2312"/>
                    </w:rPr>
                    <w:t>“以新带老”措施</w:t>
                  </w:r>
                </w:p>
              </w:tc>
              <w:tc>
                <w:tcPr>
                  <w:tcW w:w="3172" w:type="pct"/>
                  <w:gridSpan w:val="3"/>
                  <w:shd w:val="clear" w:color="auto" w:fill="auto"/>
                  <w:vAlign w:val="center"/>
                </w:tcPr>
                <w:p>
                  <w:pPr>
                    <w:jc w:val="center"/>
                    <w:rPr>
                      <w:rFonts w:ascii="Times New Roman" w:hAnsi="Times New Roman" w:eastAsia="仿宋_GB2312"/>
                    </w:rPr>
                  </w:pPr>
                  <w:r>
                    <w:rPr>
                      <w:rFonts w:ascii="Times New Roman" w:hAnsi="Times New Roman" w:eastAsia="仿宋_GB2312"/>
                    </w:rPr>
                    <w:t>—</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gridSpan w:val="2"/>
                  <w:shd w:val="clear" w:color="auto" w:fill="auto"/>
                  <w:vAlign w:val="center"/>
                </w:tcPr>
                <w:p>
                  <w:pPr>
                    <w:rPr>
                      <w:rFonts w:ascii="Times New Roman" w:hAnsi="Times New Roman" w:eastAsia="仿宋_GB2312"/>
                    </w:rPr>
                  </w:pPr>
                  <w:r>
                    <w:rPr>
                      <w:rFonts w:ascii="Times New Roman" w:hAnsi="Times New Roman" w:eastAsia="仿宋_GB2312"/>
                    </w:rPr>
                    <w:t>总量平衡具体方案</w:t>
                  </w:r>
                </w:p>
              </w:tc>
              <w:tc>
                <w:tcPr>
                  <w:tcW w:w="3172" w:type="pct"/>
                  <w:gridSpan w:val="3"/>
                  <w:shd w:val="clear" w:color="auto" w:fill="auto"/>
                  <w:vAlign w:val="center"/>
                </w:tcPr>
                <w:p>
                  <w:pPr>
                    <w:rPr>
                      <w:rFonts w:ascii="Times New Roman" w:hAnsi="Times New Roman" w:eastAsia="仿宋_GB2312"/>
                    </w:rPr>
                  </w:pPr>
                  <w:r>
                    <w:rPr>
                      <w:rFonts w:ascii="Times New Roman" w:hAnsi="Times New Roman" w:eastAsia="仿宋_GB2312"/>
                      <w:szCs w:val="21"/>
                    </w:rPr>
                    <w:t>项目有组织排放氯化氢</w:t>
                  </w:r>
                  <w:r>
                    <w:rPr>
                      <w:rFonts w:ascii="Times New Roman" w:hAnsi="Times New Roman" w:eastAsia="仿宋_GB2312"/>
                      <w:kern w:val="0"/>
                      <w:szCs w:val="21"/>
                    </w:rPr>
                    <w:t>0.00074</w:t>
                  </w:r>
                  <w:r>
                    <w:rPr>
                      <w:rFonts w:hint="eastAsia" w:ascii="Times New Roman" w:hAnsi="Times New Roman" w:eastAsia="仿宋_GB2312"/>
                      <w:kern w:val="0"/>
                      <w:szCs w:val="21"/>
                    </w:rPr>
                    <w:t>t</w:t>
                  </w:r>
                  <w:r>
                    <w:rPr>
                      <w:rFonts w:ascii="Times New Roman" w:hAnsi="Times New Roman" w:eastAsia="仿宋_GB2312"/>
                      <w:kern w:val="0"/>
                      <w:szCs w:val="21"/>
                    </w:rPr>
                    <w:t>/a、硫酸雾0.000931</w:t>
                  </w:r>
                  <w:r>
                    <w:rPr>
                      <w:rFonts w:hint="eastAsia" w:ascii="Times New Roman" w:hAnsi="Times New Roman" w:eastAsia="仿宋_GB2312"/>
                      <w:kern w:val="0"/>
                      <w:szCs w:val="21"/>
                    </w:rPr>
                    <w:t>t</w:t>
                  </w:r>
                  <w:r>
                    <w:rPr>
                      <w:rFonts w:ascii="Times New Roman" w:hAnsi="Times New Roman" w:eastAsia="仿宋_GB2312"/>
                      <w:kern w:val="0"/>
                      <w:szCs w:val="21"/>
                    </w:rPr>
                    <w:t>/a、氮氧化物0.000276</w:t>
                  </w:r>
                  <w:r>
                    <w:rPr>
                      <w:rFonts w:hint="eastAsia" w:ascii="Times New Roman" w:hAnsi="Times New Roman" w:eastAsia="仿宋_GB2312"/>
                      <w:kern w:val="0"/>
                      <w:szCs w:val="21"/>
                    </w:rPr>
                    <w:t>t</w:t>
                  </w:r>
                  <w:r>
                    <w:rPr>
                      <w:rFonts w:ascii="Times New Roman" w:hAnsi="Times New Roman" w:eastAsia="仿宋_GB2312"/>
                      <w:kern w:val="0"/>
                      <w:szCs w:val="21"/>
                    </w:rPr>
                    <w:t>/a、氟化物0.000192</w:t>
                  </w:r>
                  <w:r>
                    <w:rPr>
                      <w:rFonts w:hint="eastAsia" w:ascii="Times New Roman" w:hAnsi="Times New Roman" w:eastAsia="仿宋_GB2312"/>
                      <w:kern w:val="0"/>
                      <w:szCs w:val="21"/>
                    </w:rPr>
                    <w:t>t</w:t>
                  </w:r>
                  <w:r>
                    <w:rPr>
                      <w:rFonts w:ascii="Times New Roman" w:hAnsi="Times New Roman" w:eastAsia="仿宋_GB2312"/>
                      <w:kern w:val="0"/>
                      <w:szCs w:val="21"/>
                    </w:rPr>
                    <w:t>/a</w:t>
                  </w:r>
                  <w:r>
                    <w:rPr>
                      <w:rFonts w:ascii="Times New Roman" w:hAnsi="Times New Roman" w:eastAsia="仿宋_GB2312"/>
                      <w:szCs w:val="21"/>
                    </w:rPr>
                    <w:t xml:space="preserve">、VOCs </w:t>
                  </w:r>
                  <w:r>
                    <w:rPr>
                      <w:rFonts w:ascii="Times New Roman" w:hAnsi="Times New Roman" w:eastAsia="仿宋_GB2312"/>
                      <w:kern w:val="0"/>
                      <w:szCs w:val="21"/>
                    </w:rPr>
                    <w:t>0.0256</w:t>
                  </w:r>
                  <w:r>
                    <w:rPr>
                      <w:rFonts w:hint="eastAsia" w:ascii="Times New Roman" w:hAnsi="Times New Roman" w:eastAsia="仿宋_GB2312"/>
                      <w:kern w:val="0"/>
                      <w:szCs w:val="21"/>
                    </w:rPr>
                    <w:t>t</w:t>
                  </w:r>
                  <w:r>
                    <w:rPr>
                      <w:rFonts w:ascii="Times New Roman" w:hAnsi="Times New Roman" w:eastAsia="仿宋_GB2312"/>
                      <w:kern w:val="0"/>
                      <w:szCs w:val="21"/>
                    </w:rPr>
                    <w:t>/a</w:t>
                  </w:r>
                  <w:r>
                    <w:rPr>
                      <w:rFonts w:ascii="Times New Roman" w:hAnsi="Times New Roman" w:eastAsia="仿宋_GB2312"/>
                      <w:szCs w:val="21"/>
                    </w:rPr>
                    <w:t>，项目建成</w:t>
                  </w:r>
                  <w:r>
                    <w:rPr>
                      <w:rFonts w:ascii="Times New Roman" w:hAnsi="Times New Roman" w:eastAsia="仿宋_GB2312"/>
                      <w:kern w:val="0"/>
                      <w:szCs w:val="21"/>
                    </w:rPr>
                    <w:t>后</w:t>
                  </w:r>
                  <w:r>
                    <w:rPr>
                      <w:rFonts w:ascii="Times New Roman" w:hAnsi="Times New Roman" w:eastAsia="仿宋_GB2312"/>
                      <w:szCs w:val="21"/>
                    </w:rPr>
                    <w:t>废气污染物总量在鼓楼区内平衡；项目废水排放量为282.812t/a，项目建成后废水污染物总量指标全部纳入江心洲污水处理厂总量控制指标中；固废零排放</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gridSpan w:val="2"/>
                  <w:shd w:val="clear" w:color="auto" w:fill="auto"/>
                  <w:vAlign w:val="center"/>
                </w:tcPr>
                <w:p>
                  <w:pPr>
                    <w:jc w:val="center"/>
                    <w:rPr>
                      <w:rFonts w:ascii="Times New Roman" w:hAnsi="Times New Roman" w:eastAsia="仿宋_GB2312"/>
                    </w:rPr>
                  </w:pPr>
                  <w:r>
                    <w:rPr>
                      <w:rFonts w:ascii="Times New Roman" w:hAnsi="Times New Roman" w:eastAsia="仿宋_GB2312"/>
                    </w:rPr>
                    <w:t>区域解决问题</w:t>
                  </w:r>
                </w:p>
              </w:tc>
              <w:tc>
                <w:tcPr>
                  <w:tcW w:w="3172" w:type="pct"/>
                  <w:gridSpan w:val="3"/>
                  <w:shd w:val="clear" w:color="auto" w:fill="auto"/>
                  <w:vAlign w:val="center"/>
                </w:tcPr>
                <w:p>
                  <w:pPr>
                    <w:jc w:val="center"/>
                    <w:rPr>
                      <w:rFonts w:ascii="Times New Roman" w:hAnsi="Times New Roman" w:eastAsia="仿宋_GB2312"/>
                    </w:rPr>
                  </w:pPr>
                  <w:r>
                    <w:rPr>
                      <w:rFonts w:ascii="Times New Roman" w:hAnsi="Times New Roman" w:eastAsia="仿宋_GB2312"/>
                    </w:rPr>
                    <w:t>—</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7" w:type="pct"/>
                  <w:gridSpan w:val="2"/>
                  <w:shd w:val="clear" w:color="auto" w:fill="auto"/>
                  <w:vAlign w:val="center"/>
                </w:tcPr>
                <w:p>
                  <w:pPr>
                    <w:jc w:val="center"/>
                    <w:rPr>
                      <w:rFonts w:ascii="Times New Roman" w:hAnsi="Times New Roman" w:eastAsia="仿宋_GB2312"/>
                    </w:rPr>
                  </w:pPr>
                  <w:r>
                    <w:rPr>
                      <w:rFonts w:ascii="Times New Roman" w:hAnsi="Times New Roman" w:eastAsia="仿宋_GB2312"/>
                    </w:rPr>
                    <w:t>大气环境防护距离设置</w:t>
                  </w:r>
                </w:p>
              </w:tc>
              <w:tc>
                <w:tcPr>
                  <w:tcW w:w="3172" w:type="pct"/>
                  <w:gridSpan w:val="3"/>
                  <w:shd w:val="clear" w:color="auto" w:fill="auto"/>
                  <w:vAlign w:val="center"/>
                </w:tcPr>
                <w:p>
                  <w:pPr>
                    <w:jc w:val="center"/>
                    <w:rPr>
                      <w:rFonts w:ascii="Times New Roman" w:hAnsi="Times New Roman" w:eastAsia="仿宋_GB2312"/>
                    </w:rPr>
                  </w:pPr>
                  <w:r>
                    <w:rPr>
                      <w:rFonts w:ascii="Times New Roman" w:hAnsi="Times New Roman" w:eastAsia="仿宋_GB2312"/>
                    </w:rPr>
                    <w:t>无</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109" w:type="pct"/>
                  <w:gridSpan w:val="5"/>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环保投资合计</w:t>
                  </w:r>
                </w:p>
              </w:tc>
              <w:tc>
                <w:tcPr>
                  <w:tcW w:w="498" w:type="pct"/>
                  <w:shd w:val="clear" w:color="auto" w:fill="auto"/>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100</w:t>
                  </w:r>
                </w:p>
              </w:tc>
              <w:tc>
                <w:tcPr>
                  <w:tcW w:w="393" w:type="pct"/>
                  <w:vMerge w:val="continue"/>
                  <w:shd w:val="clear" w:color="auto" w:fill="auto"/>
                  <w:vAlign w:val="center"/>
                </w:tcPr>
                <w:p>
                  <w:pPr>
                    <w:adjustRightInd w:val="0"/>
                    <w:snapToGrid w:val="0"/>
                    <w:jc w:val="center"/>
                    <w:rPr>
                      <w:rFonts w:ascii="Times New Roman" w:hAnsi="Times New Roman" w:eastAsia="仿宋_GB2312"/>
                      <w:snapToGrid w:val="0"/>
                      <w:color w:val="000000"/>
                      <w:kern w:val="0"/>
                      <w:szCs w:val="21"/>
                    </w:rPr>
                  </w:pPr>
                </w:p>
              </w:tc>
            </w:tr>
          </w:tbl>
          <w:p>
            <w:pPr>
              <w:pStyle w:val="248"/>
              <w:ind w:firstLine="0" w:firstLineChars="0"/>
              <w:rPr>
                <w:rFonts w:eastAsia="仿宋_GB2312"/>
                <w:color w:val="000000"/>
              </w:rPr>
            </w:pPr>
          </w:p>
        </w:tc>
      </w:tr>
    </w:tbl>
    <w:p>
      <w:pPr>
        <w:adjustRightInd w:val="0"/>
        <w:snapToGrid w:val="0"/>
        <w:spacing w:before="120" w:beforeLines="50" w:after="50" w:line="480" w:lineRule="exact"/>
        <w:outlineLvl w:val="0"/>
        <w:rPr>
          <w:rFonts w:ascii="Times New Roman" w:hAnsi="Times New Roman" w:eastAsia="仿宋_GB2312"/>
          <w:b/>
          <w:color w:val="000000"/>
          <w:sz w:val="24"/>
          <w:szCs w:val="24"/>
        </w:rPr>
        <w:sectPr>
          <w:pgSz w:w="11907" w:h="16840"/>
          <w:pgMar w:top="1440" w:right="1797" w:bottom="1440" w:left="1797" w:header="851" w:footer="992" w:gutter="0"/>
          <w:cols w:space="720" w:num="1"/>
          <w:titlePg/>
          <w:docGrid w:linePitch="312" w:charSpace="0"/>
        </w:sectPr>
      </w:pP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八、建设项目拟采取的防治措施及预期治理效果</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1"/>
        <w:gridCol w:w="1426"/>
        <w:gridCol w:w="1417"/>
        <w:gridCol w:w="1701"/>
        <w:gridCol w:w="25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1331" w:type="dxa"/>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ind w:left="239" w:leftChars="114" w:firstLine="211" w:firstLineChars="100"/>
              <w:jc w:val="right"/>
              <w:rPr>
                <w:rFonts w:ascii="Times New Roman" w:hAnsi="Times New Roman" w:eastAsia="仿宋_GB2312"/>
                <w:b/>
                <w:bCs/>
                <w:color w:val="000000"/>
                <w:szCs w:val="21"/>
              </w:rPr>
            </w:pPr>
            <w:r>
              <w:rPr>
                <w:rFonts w:ascii="Times New Roman" w:hAnsi="Times New Roman" w:eastAsia="仿宋_GB2312"/>
                <w:b/>
                <w:bCs/>
                <w:color w:val="000000"/>
                <w:szCs w:val="21"/>
              </w:rPr>
              <w:t>内容</w:t>
            </w:r>
          </w:p>
          <w:p>
            <w:pPr>
              <w:adjustRightInd w:val="0"/>
              <w:snapToGrid w:val="0"/>
              <w:jc w:val="left"/>
              <w:rPr>
                <w:rFonts w:ascii="Times New Roman" w:hAnsi="Times New Roman" w:eastAsia="仿宋_GB2312"/>
                <w:b/>
                <w:bCs/>
                <w:color w:val="000000"/>
                <w:szCs w:val="21"/>
              </w:rPr>
            </w:pPr>
            <w:r>
              <w:rPr>
                <w:rFonts w:ascii="Times New Roman" w:hAnsi="Times New Roman" w:eastAsia="仿宋_GB2312"/>
                <w:b/>
                <w:bCs/>
                <w:color w:val="000000"/>
                <w:szCs w:val="21"/>
              </w:rPr>
              <w:t>类型</w:t>
            </w:r>
          </w:p>
        </w:tc>
        <w:tc>
          <w:tcPr>
            <w:tcW w:w="1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排放源</w:t>
            </w:r>
          </w:p>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（编号）</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污染物名称</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防治措施</w:t>
            </w:r>
          </w:p>
        </w:tc>
        <w:tc>
          <w:tcPr>
            <w:tcW w:w="25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预期治理</w:t>
            </w:r>
          </w:p>
          <w:p>
            <w:pPr>
              <w:adjustRightInd w:val="0"/>
              <w:snapToGrid w:val="0"/>
              <w:jc w:val="center"/>
              <w:rPr>
                <w:rFonts w:ascii="Times New Roman" w:hAnsi="Times New Roman" w:eastAsia="仿宋_GB2312"/>
                <w:b/>
                <w:bCs/>
                <w:color w:val="000000"/>
                <w:szCs w:val="21"/>
              </w:rPr>
            </w:pPr>
            <w:r>
              <w:rPr>
                <w:rFonts w:ascii="Times New Roman" w:hAnsi="Times New Roman" w:eastAsia="仿宋_GB2312"/>
                <w:b/>
                <w:bCs/>
                <w:color w:val="000000"/>
                <w:szCs w:val="21"/>
              </w:rPr>
              <w:t>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5"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大气污染物</w:t>
            </w:r>
          </w:p>
        </w:tc>
        <w:tc>
          <w:tcPr>
            <w:tcW w:w="1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实验室排气筒</w:t>
            </w:r>
          </w:p>
        </w:tc>
        <w:tc>
          <w:tcPr>
            <w:tcW w:w="1417" w:type="dxa"/>
            <w:tcBorders>
              <w:top w:val="single" w:color="auto" w:sz="4" w:space="0"/>
              <w:left w:val="single" w:color="auto" w:sz="4" w:space="0"/>
              <w:right w:val="single" w:color="auto" w:sz="4" w:space="0"/>
            </w:tcBorders>
            <w:vAlign w:val="center"/>
          </w:tcPr>
          <w:p>
            <w:pPr>
              <w:pStyle w:val="92"/>
              <w:rPr>
                <w:rFonts w:eastAsia="仿宋_GB2312"/>
              </w:rPr>
            </w:pPr>
            <w:r>
              <w:rPr>
                <w:rFonts w:eastAsia="仿宋_GB2312"/>
              </w:rPr>
              <w:t>VOC</w:t>
            </w:r>
            <w:r>
              <w:rPr>
                <w:rFonts w:eastAsia="仿宋_GB2312"/>
                <w:vertAlign w:val="subscript"/>
              </w:rPr>
              <w:t>S</w:t>
            </w:r>
            <w:r>
              <w:rPr>
                <w:rFonts w:eastAsia="仿宋_GB2312"/>
              </w:rPr>
              <w:t>、氯化氢、氮氧化物、硫酸雾、氟化物</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通风橱、集气罩分别收集至1套活性炭吸附处理装置处理后，经1个25m排气筒排放</w:t>
            </w:r>
          </w:p>
        </w:tc>
        <w:tc>
          <w:tcPr>
            <w:tcW w:w="25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VOC</w:t>
            </w:r>
            <w:r>
              <w:rPr>
                <w:rFonts w:ascii="Times New Roman" w:hAnsi="Times New Roman" w:eastAsia="仿宋_GB2312"/>
                <w:snapToGrid w:val="0"/>
                <w:color w:val="000000"/>
                <w:kern w:val="0"/>
                <w:szCs w:val="21"/>
                <w:vertAlign w:val="subscript"/>
              </w:rPr>
              <w:t>S</w:t>
            </w:r>
            <w:r>
              <w:rPr>
                <w:rFonts w:ascii="Times New Roman" w:hAnsi="Times New Roman" w:eastAsia="仿宋_GB2312"/>
                <w:snapToGrid w:val="0"/>
                <w:color w:val="000000"/>
                <w:kern w:val="0"/>
                <w:szCs w:val="21"/>
              </w:rPr>
              <w:t>排放满足天津市《工业企业挥发性有机物排放控制标准》（DB 12/524-2014）表2中其他行业标准，氯化氢、氮氧化物、硫酸雾、氟化物执行《大气污染物综合排放标准》（GB 16297-1996）表2二级标准。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水污染物</w:t>
            </w:r>
          </w:p>
        </w:tc>
        <w:tc>
          <w:tcPr>
            <w:tcW w:w="14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生活污水</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COD、SS、氨氮、总磷</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实验废水和生活污水一起经化粪池预处理达接管标准后，混合接管市政污水管网，排至江心洲污水处理厂处理</w:t>
            </w:r>
          </w:p>
        </w:tc>
        <w:tc>
          <w:tcPr>
            <w:tcW w:w="256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imes New Roman" w:hAnsi="Times New Roman" w:eastAsia="仿宋_GB2312"/>
                <w:color w:val="000000"/>
                <w:szCs w:val="21"/>
              </w:rPr>
            </w:pPr>
            <w:r>
              <w:rPr>
                <w:rFonts w:ascii="Times New Roman" w:hAnsi="Times New Roman" w:eastAsia="仿宋_GB2312"/>
                <w:snapToGrid w:val="0"/>
                <w:color w:val="000000"/>
                <w:kern w:val="0"/>
                <w:szCs w:val="21"/>
              </w:rPr>
              <w:t>满足《污水排入城镇下水道水质标准》（GB/T 31962-2015）表1中B等级标准要求</w:t>
            </w:r>
            <w:r>
              <w:rPr>
                <w:rFonts w:hint="eastAsia" w:ascii="Times New Roman" w:hAnsi="Times New Roman" w:eastAsia="仿宋_GB2312"/>
                <w:snapToGrid w:val="0"/>
                <w:color w:val="000000"/>
                <w:kern w:val="0"/>
                <w:szCs w:val="21"/>
              </w:rPr>
              <w:t>，氟化物(以F-计)执行《污水综合排放标准》（GB 8978-1996）一级标准</w:t>
            </w:r>
            <w:r>
              <w:rPr>
                <w:rFonts w:ascii="Times New Roman" w:hAnsi="Times New Roman" w:eastAsia="仿宋_GB2312"/>
                <w:snapToGrid w:val="0"/>
                <w:color w:val="000000"/>
                <w:kern w:val="0"/>
                <w:szCs w:val="21"/>
              </w:rPr>
              <w:t>后接管至江心洲污水处理厂，尾水达标排放。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r>
              <w:rPr>
                <w:rFonts w:hint="eastAsia" w:ascii="Times New Roman" w:hAnsi="Times New Roman" w:eastAsia="仿宋_GB2312"/>
                <w:color w:val="000000"/>
                <w:szCs w:val="21"/>
              </w:rPr>
              <w:t>反冲洗废水和反渗透浓水</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COD、SS、氨氮、总磷</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r>
              <w:rPr>
                <w:rFonts w:hint="eastAsia" w:ascii="Times New Roman" w:hAnsi="Times New Roman" w:eastAsia="仿宋_GB2312"/>
                <w:color w:val="000000"/>
                <w:szCs w:val="21"/>
              </w:rPr>
              <w:t>实验仪器及器皿润洗废水</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COD、SS、氨氮、总磷</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r>
              <w:rPr>
                <w:rFonts w:hint="eastAsia" w:ascii="Times New Roman" w:hAnsi="Times New Roman" w:eastAsia="仿宋_GB2312"/>
                <w:color w:val="000000"/>
                <w:szCs w:val="21"/>
              </w:rPr>
              <w:t>循环冷却系统废水</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napToGrid w:val="0"/>
                <w:color w:val="000000"/>
                <w:kern w:val="0"/>
                <w:szCs w:val="21"/>
              </w:rPr>
            </w:pPr>
            <w:r>
              <w:rPr>
                <w:rFonts w:ascii="Times New Roman" w:hAnsi="Times New Roman" w:eastAsia="仿宋_GB2312"/>
                <w:snapToGrid w:val="0"/>
                <w:color w:val="000000"/>
                <w:kern w:val="0"/>
                <w:szCs w:val="21"/>
              </w:rPr>
              <w:t>COD、SS、氨氮、总磷</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实验仪器及器皿清洗废水、实验室台面及地面清洁废水</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snapToGrid w:val="0"/>
                <w:color w:val="000000"/>
                <w:kern w:val="0"/>
                <w:szCs w:val="21"/>
              </w:rPr>
              <w:t>COD、SS、氨氮、总磷、氟化物</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固体</w:t>
            </w:r>
          </w:p>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废物</w:t>
            </w:r>
          </w:p>
        </w:tc>
        <w:tc>
          <w:tcPr>
            <w:tcW w:w="142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检验检测</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生活垃圾</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环卫清运</w:t>
            </w:r>
          </w:p>
        </w:tc>
        <w:tc>
          <w:tcPr>
            <w:tcW w:w="256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ind w:firstLine="23" w:firstLineChars="11"/>
              <w:jc w:val="center"/>
              <w:rPr>
                <w:rFonts w:ascii="Times New Roman" w:hAnsi="Times New Roman" w:eastAsia="仿宋_GB2312"/>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反渗透</w:t>
            </w:r>
            <w:r>
              <w:rPr>
                <w:rFonts w:ascii="Times New Roman" w:hAnsi="Times New Roman" w:eastAsia="仿宋_GB2312"/>
                <w:color w:val="000000"/>
                <w:szCs w:val="21"/>
              </w:rPr>
              <w:t>膜</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ind w:firstLine="23" w:firstLineChars="11"/>
              <w:jc w:val="center"/>
              <w:rPr>
                <w:rFonts w:ascii="Times New Roman" w:hAnsi="Times New Roman" w:eastAsia="仿宋_GB2312"/>
                <w:color w:val="000000"/>
                <w:szCs w:val="21"/>
              </w:rPr>
            </w:pPr>
          </w:p>
        </w:tc>
        <w:tc>
          <w:tcPr>
            <w:tcW w:w="1417"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w:t>
            </w:r>
            <w:r>
              <w:rPr>
                <w:rFonts w:hint="eastAsia" w:ascii="Times New Roman" w:hAnsi="Times New Roman" w:eastAsia="仿宋_GB2312"/>
                <w:color w:val="000000"/>
                <w:szCs w:val="21"/>
              </w:rPr>
              <w:t>玻璃器皿</w:t>
            </w:r>
            <w:r>
              <w:rPr>
                <w:rFonts w:ascii="Times New Roman" w:hAnsi="Times New Roman" w:eastAsia="仿宋_GB2312"/>
                <w:color w:val="000000"/>
                <w:szCs w:val="21"/>
              </w:rPr>
              <w:t>等耗材</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委托有资质单位处置</w:t>
            </w: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ind w:firstLine="23" w:firstLineChars="11"/>
              <w:jc w:val="center"/>
              <w:rPr>
                <w:rFonts w:ascii="Times New Roman" w:hAnsi="Times New Roman" w:eastAsia="仿宋_GB2312"/>
                <w:color w:val="000000"/>
                <w:szCs w:val="21"/>
              </w:rPr>
            </w:pPr>
          </w:p>
        </w:tc>
        <w:tc>
          <w:tcPr>
            <w:tcW w:w="1417"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废试剂瓶</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ind w:firstLine="23" w:firstLineChars="11"/>
              <w:jc w:val="center"/>
              <w:rPr>
                <w:rFonts w:ascii="Times New Roman" w:hAnsi="Times New Roman" w:eastAsia="仿宋_GB2312"/>
                <w:color w:val="000000"/>
                <w:szCs w:val="21"/>
              </w:rPr>
            </w:pPr>
          </w:p>
        </w:tc>
        <w:tc>
          <w:tcPr>
            <w:tcW w:w="1417"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废药剂包装</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17"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废固体</w:t>
            </w:r>
            <w:r>
              <w:rPr>
                <w:rFonts w:hint="eastAsia" w:ascii="Times New Roman" w:hAnsi="Times New Roman" w:eastAsia="仿宋_GB2312"/>
                <w:color w:val="000000"/>
                <w:szCs w:val="21"/>
              </w:rPr>
              <w:t>、液体</w:t>
            </w:r>
            <w:r>
              <w:rPr>
                <w:rFonts w:ascii="Times New Roman" w:hAnsi="Times New Roman" w:eastAsia="仿宋_GB2312"/>
                <w:color w:val="000000"/>
                <w:szCs w:val="21"/>
              </w:rPr>
              <w:t>样品</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17" w:type="dxa"/>
            <w:shd w:val="clear" w:color="auto" w:fill="auto"/>
            <w:vAlign w:val="center"/>
          </w:tcPr>
          <w:p>
            <w:pPr>
              <w:jc w:val="center"/>
              <w:rPr>
                <w:rFonts w:ascii="Times New Roman" w:hAnsi="Times New Roman" w:eastAsia="仿宋_GB2312"/>
                <w:color w:val="000000"/>
                <w:szCs w:val="21"/>
              </w:rPr>
            </w:pPr>
            <w:r>
              <w:rPr>
                <w:rFonts w:hint="eastAsia" w:ascii="Times New Roman" w:hAnsi="Times New Roman" w:eastAsia="仿宋_GB2312"/>
                <w:color w:val="000000"/>
                <w:szCs w:val="21"/>
              </w:rPr>
              <w:t>科研、检测废液及前两道清洗废液</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17" w:type="dxa"/>
            <w:shd w:val="clear" w:color="auto" w:fill="auto"/>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过期化学品</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133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2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废活性炭</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c>
          <w:tcPr>
            <w:tcW w:w="25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噪声</w:t>
            </w:r>
          </w:p>
        </w:tc>
        <w:tc>
          <w:tcPr>
            <w:tcW w:w="710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rFonts w:ascii="Times New Roman" w:hAnsi="Times New Roman" w:eastAsia="仿宋_GB2312"/>
                <w:color w:val="000000"/>
                <w:szCs w:val="21"/>
              </w:rPr>
            </w:pPr>
            <w:r>
              <w:rPr>
                <w:rFonts w:hint="eastAsia" w:ascii="Times New Roman" w:hAnsi="Times New Roman" w:eastAsia="仿宋_GB2312"/>
                <w:color w:val="000000"/>
                <w:szCs w:val="21"/>
              </w:rPr>
              <w:t>本项目夜间不进行实验及测试等活动，</w:t>
            </w:r>
            <w:r>
              <w:rPr>
                <w:rFonts w:ascii="Times New Roman" w:hAnsi="Times New Roman" w:eastAsia="仿宋_GB2312"/>
                <w:color w:val="000000"/>
                <w:szCs w:val="21"/>
              </w:rPr>
              <w:t>营运期噪声主要为风机</w:t>
            </w:r>
            <w:r>
              <w:rPr>
                <w:rFonts w:hint="eastAsia" w:ascii="Times New Roman" w:hAnsi="Times New Roman" w:eastAsia="仿宋_GB2312"/>
                <w:color w:val="000000"/>
                <w:szCs w:val="21"/>
              </w:rPr>
              <w:t>和空调外机</w:t>
            </w:r>
            <w:r>
              <w:rPr>
                <w:rFonts w:ascii="Times New Roman" w:hAnsi="Times New Roman" w:eastAsia="仿宋_GB2312"/>
                <w:color w:val="000000"/>
                <w:szCs w:val="21"/>
              </w:rPr>
              <w:t>产生的噪声，采取</w:t>
            </w:r>
            <w:r>
              <w:rPr>
                <w:rFonts w:ascii="Times New Roman" w:hAnsi="Times New Roman" w:eastAsia="仿宋_GB2312"/>
                <w:snapToGrid w:val="0"/>
                <w:color w:val="000000"/>
                <w:kern w:val="0"/>
                <w:szCs w:val="21"/>
              </w:rPr>
              <w:t>选用低噪声设备、设备隔声、基础减振等措施治理后，</w:t>
            </w:r>
            <w:r>
              <w:rPr>
                <w:rFonts w:ascii="Times New Roman" w:hAnsi="Times New Roman" w:eastAsia="仿宋_GB2312"/>
                <w:color w:val="000000"/>
                <w:szCs w:val="21"/>
              </w:rPr>
              <w:t>可以使厂界噪声排放满足《工业企业厂界环境噪声排放标准》（GB12348-2008）2类标准</w:t>
            </w:r>
            <w:r>
              <w:rPr>
                <w:rFonts w:hint="eastAsia" w:ascii="Times New Roman" w:hAnsi="Times New Roman" w:eastAsia="仿宋_GB2312"/>
                <w:color w:val="000000"/>
                <w:szCs w:val="21"/>
              </w:rPr>
              <w:t>，北侧厂界满足4类标准</w:t>
            </w:r>
            <w:r>
              <w:rPr>
                <w:rFonts w:ascii="Times New Roman" w:hAnsi="Times New Roman" w:eastAsia="仿宋_GB2312"/>
                <w:color w:val="000000"/>
                <w:szCs w:val="21"/>
              </w:rPr>
              <w:t>。</w:t>
            </w:r>
            <w:r>
              <w:rPr>
                <w:rFonts w:hint="eastAsia" w:ascii="Times New Roman" w:hAnsi="Times New Roman" w:eastAsia="仿宋_GB2312"/>
                <w:color w:val="000000"/>
                <w:szCs w:val="21"/>
              </w:rPr>
              <w:t>项目周边靠近凤凰西街次干道敏感点满足</w:t>
            </w:r>
            <w:r>
              <w:rPr>
                <w:rFonts w:ascii="Times New Roman" w:hAnsi="Times New Roman" w:eastAsia="仿宋_GB2312"/>
                <w:color w:val="000000"/>
                <w:szCs w:val="21"/>
              </w:rPr>
              <w:t>《</w:t>
            </w:r>
            <w:r>
              <w:rPr>
                <w:rFonts w:hint="eastAsia" w:ascii="Times New Roman" w:hAnsi="Times New Roman" w:eastAsia="仿宋_GB2312"/>
                <w:color w:val="000000"/>
                <w:szCs w:val="21"/>
              </w:rPr>
              <w:t>声环境质量标准</w:t>
            </w:r>
            <w:r>
              <w:rPr>
                <w:rFonts w:ascii="Times New Roman" w:hAnsi="Times New Roman" w:eastAsia="仿宋_GB2312"/>
                <w:color w:val="000000"/>
                <w:szCs w:val="21"/>
              </w:rPr>
              <w:t>》（GB3096-2008）</w:t>
            </w:r>
            <w:r>
              <w:rPr>
                <w:rFonts w:hint="eastAsia" w:ascii="Times New Roman" w:hAnsi="Times New Roman" w:eastAsia="仿宋_GB2312"/>
                <w:color w:val="000000"/>
                <w:szCs w:val="21"/>
              </w:rPr>
              <w:t>4a类标准，其余满足2类标准。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3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其它</w:t>
            </w:r>
          </w:p>
        </w:tc>
        <w:tc>
          <w:tcPr>
            <w:tcW w:w="710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color w:val="000000"/>
                <w:szCs w:val="21"/>
              </w:rPr>
            </w:pPr>
            <w:r>
              <w:rPr>
                <w:rFonts w:ascii="Times New Roman" w:hAnsi="Times New Roman" w:eastAsia="仿宋_GB2312"/>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3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imes New Roman" w:hAnsi="Times New Roman" w:eastAsia="仿宋_GB2312"/>
                <w:b/>
                <w:bCs/>
                <w:snapToGrid w:val="0"/>
                <w:color w:val="000000"/>
                <w:kern w:val="0"/>
                <w:szCs w:val="21"/>
              </w:rPr>
            </w:pPr>
            <w:r>
              <w:rPr>
                <w:rFonts w:ascii="Times New Roman" w:hAnsi="Times New Roman" w:eastAsia="仿宋_GB2312"/>
                <w:b/>
                <w:bCs/>
                <w:snapToGrid w:val="0"/>
                <w:color w:val="000000"/>
                <w:kern w:val="0"/>
                <w:szCs w:val="21"/>
              </w:rPr>
              <w:t>主要生态影响（不够时可附另页）</w:t>
            </w:r>
          </w:p>
          <w:p>
            <w:pPr>
              <w:adjustRightInd w:val="0"/>
              <w:snapToGrid w:val="0"/>
              <w:jc w:val="left"/>
              <w:rPr>
                <w:rFonts w:ascii="Times New Roman" w:hAnsi="Times New Roman" w:eastAsia="仿宋_GB2312"/>
                <w:color w:val="000000"/>
              </w:rPr>
            </w:pPr>
            <w:r>
              <w:rPr>
                <w:rFonts w:hint="eastAsia" w:ascii="Times New Roman" w:hAnsi="Times New Roman" w:eastAsia="仿宋_GB2312"/>
                <w:snapToGrid w:val="0"/>
                <w:color w:val="000000"/>
                <w:kern w:val="0"/>
                <w:szCs w:val="21"/>
              </w:rPr>
              <w:t>无</w:t>
            </w:r>
          </w:p>
        </w:tc>
      </w:tr>
    </w:tbl>
    <w:p>
      <w:pPr>
        <w:adjustRightInd w:val="0"/>
        <w:snapToGrid w:val="0"/>
        <w:spacing w:before="120" w:beforeLines="50" w:line="480" w:lineRule="exact"/>
        <w:outlineLvl w:val="0"/>
        <w:rPr>
          <w:rFonts w:ascii="Times New Roman" w:hAnsi="Times New Roman" w:eastAsia="仿宋_GB2312"/>
          <w:b/>
          <w:color w:val="000000"/>
          <w:sz w:val="24"/>
          <w:szCs w:val="24"/>
        </w:rPr>
        <w:sectPr>
          <w:pgSz w:w="11907" w:h="16840"/>
          <w:pgMar w:top="1440" w:right="1797" w:bottom="1440" w:left="1797" w:header="851" w:footer="992" w:gutter="0"/>
          <w:cols w:space="720" w:num="1"/>
          <w:titlePg/>
          <w:docGrid w:linePitch="312" w:charSpace="0"/>
        </w:sectPr>
      </w:pPr>
    </w:p>
    <w:p>
      <w:pPr>
        <w:pStyle w:val="3"/>
        <w:spacing w:before="120" w:beforeLines="50" w:after="120" w:afterLines="50" w:line="480" w:lineRule="exact"/>
        <w:rPr>
          <w:rFonts w:ascii="Times New Roman" w:hAnsi="Times New Roman" w:eastAsia="仿宋_GB2312"/>
          <w:color w:val="000000"/>
          <w:spacing w:val="0"/>
          <w:sz w:val="24"/>
          <w:szCs w:val="24"/>
        </w:rPr>
      </w:pPr>
      <w:r>
        <w:rPr>
          <w:rFonts w:ascii="Times New Roman" w:hAnsi="Times New Roman" w:eastAsia="仿宋_GB2312"/>
          <w:color w:val="000000"/>
          <w:spacing w:val="0"/>
          <w:sz w:val="24"/>
          <w:szCs w:val="24"/>
        </w:rPr>
        <w:t>九、结论和建议</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6" w:hRule="atLeast"/>
        </w:trPr>
        <w:tc>
          <w:tcPr>
            <w:tcW w:w="8529" w:type="dxa"/>
          </w:tcPr>
          <w:p>
            <w:pPr>
              <w:spacing w:line="480" w:lineRule="exact"/>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一、结论</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江苏省环境科学研究院拟在南京市鼓楼区凤凰西街241号</w:t>
            </w:r>
            <w:r>
              <w:rPr>
                <w:rFonts w:hint="eastAsia" w:ascii="Times New Roman" w:hAnsi="Times New Roman" w:eastAsia="仿宋_GB2312"/>
                <w:color w:val="000000"/>
                <w:sz w:val="24"/>
                <w:szCs w:val="24"/>
              </w:rPr>
              <w:t>开展凤凰西街241号实验楼（北楼）内部整修工程项目建设</w:t>
            </w:r>
            <w:r>
              <w:rPr>
                <w:rFonts w:ascii="Times New Roman" w:hAnsi="Times New Roman" w:eastAsia="仿宋_GB2312"/>
                <w:color w:val="000000"/>
                <w:sz w:val="24"/>
                <w:szCs w:val="24"/>
              </w:rPr>
              <w:t>，主要从事固废、土壤、空气和废气、噪声、水和废水等项目的检验检测和科研服务。项目不涉及利用放射源或具有放射性的设备进行检测的项目，不属于P3、P4生物安全实验室，不属于转基因实验室，不涉及生产。</w:t>
            </w:r>
          </w:p>
          <w:p>
            <w:pPr>
              <w:adjustRightInd w:val="0"/>
              <w:snapToGrid w:val="0"/>
              <w:spacing w:line="48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1、符合产业政策及相关规划</w:t>
            </w:r>
          </w:p>
          <w:p>
            <w:pPr>
              <w:autoSpaceDE w:val="0"/>
              <w:autoSpaceDN w:val="0"/>
              <w:adjustRightInd w:val="0"/>
              <w:snapToGrid w:val="0"/>
              <w:spacing w:line="500" w:lineRule="exact"/>
              <w:ind w:firstLine="480" w:firstLineChars="200"/>
              <w:rPr>
                <w:rFonts w:ascii="Times New Roman" w:hAnsi="Times New Roman" w:eastAsia="仿宋_GB2312"/>
                <w:bCs/>
                <w:color w:val="000000"/>
                <w:sz w:val="24"/>
                <w:szCs w:val="24"/>
              </w:rPr>
            </w:pPr>
            <w:r>
              <w:rPr>
                <w:rFonts w:ascii="Times New Roman" w:hAnsi="Times New Roman" w:eastAsia="仿宋_GB2312"/>
                <w:color w:val="000000"/>
                <w:sz w:val="24"/>
                <w:szCs w:val="24"/>
              </w:rPr>
              <w:t>本项目属于《产业结构调整指导目录（2019年本）》</w:t>
            </w:r>
            <w:r>
              <w:rPr>
                <w:rFonts w:hint="eastAsia" w:ascii="Times New Roman" w:hAnsi="Times New Roman" w:eastAsia="仿宋_GB2312"/>
                <w:color w:val="000000"/>
                <w:sz w:val="24"/>
                <w:szCs w:val="24"/>
              </w:rPr>
              <w:t>（2</w:t>
            </w:r>
            <w:r>
              <w:rPr>
                <w:rFonts w:ascii="Times New Roman" w:hAnsi="Times New Roman" w:eastAsia="仿宋_GB2312"/>
                <w:color w:val="000000"/>
                <w:sz w:val="24"/>
                <w:szCs w:val="24"/>
              </w:rPr>
              <w:t>020</w:t>
            </w:r>
            <w:r>
              <w:rPr>
                <w:rFonts w:hint="eastAsia" w:ascii="Times New Roman" w:hAnsi="Times New Roman" w:eastAsia="仿宋_GB2312"/>
                <w:color w:val="000000"/>
                <w:sz w:val="24"/>
                <w:szCs w:val="24"/>
              </w:rPr>
              <w:t>年1月1日起施行）</w:t>
            </w:r>
            <w:r>
              <w:rPr>
                <w:rFonts w:ascii="Times New Roman" w:hAnsi="Times New Roman" w:eastAsia="仿宋_GB2312"/>
                <w:color w:val="000000"/>
                <w:sz w:val="24"/>
                <w:szCs w:val="24"/>
              </w:rPr>
              <w:t>、</w:t>
            </w:r>
            <w:r>
              <w:rPr>
                <w:rFonts w:ascii="Times New Roman" w:hAnsi="Times New Roman" w:eastAsia="仿宋_GB2312"/>
                <w:color w:val="000000"/>
                <w:kern w:val="0"/>
                <w:sz w:val="24"/>
                <w:szCs w:val="24"/>
              </w:rPr>
              <w:t>《江苏省工业和信息产业结构调整指导目录》（苏政办发[2013]9号）、《关于修改&lt;江苏省工业和信息产业结构调整指导目录（2012年本）&gt;部分条目的通知》（苏经信产业[2013]183号）</w:t>
            </w:r>
            <w:r>
              <w:rPr>
                <w:rFonts w:ascii="Times New Roman" w:hAnsi="Times New Roman" w:eastAsia="仿宋_GB2312"/>
                <w:color w:val="000000"/>
                <w:sz w:val="24"/>
                <w:szCs w:val="24"/>
              </w:rPr>
              <w:t>中鼓励类。</w:t>
            </w:r>
            <w:r>
              <w:rPr>
                <w:rFonts w:ascii="Times New Roman" w:hAnsi="Times New Roman" w:eastAsia="仿宋_GB2312"/>
                <w:bCs/>
                <w:color w:val="000000"/>
                <w:sz w:val="24"/>
                <w:szCs w:val="24"/>
              </w:rPr>
              <w:t>对照《</w:t>
            </w:r>
            <w:r>
              <w:rPr>
                <w:rFonts w:hint="eastAsia" w:ascii="Times New Roman" w:hAnsi="Times New Roman" w:eastAsia="仿宋_GB2312"/>
                <w:bCs/>
                <w:color w:val="000000"/>
                <w:sz w:val="24"/>
                <w:szCs w:val="24"/>
              </w:rPr>
              <w:t>限制用地项目目录</w:t>
            </w:r>
            <w:r>
              <w:rPr>
                <w:rFonts w:ascii="Times New Roman" w:hAnsi="Times New Roman" w:eastAsia="仿宋_GB2312"/>
                <w:bCs/>
                <w:color w:val="000000"/>
                <w:sz w:val="24"/>
                <w:szCs w:val="24"/>
              </w:rPr>
              <w:t>》</w:t>
            </w:r>
            <w:r>
              <w:rPr>
                <w:rFonts w:hint="eastAsia" w:ascii="Times New Roman" w:hAnsi="Times New Roman" w:eastAsia="仿宋_GB2312"/>
                <w:bCs/>
                <w:color w:val="000000"/>
                <w:sz w:val="24"/>
                <w:szCs w:val="24"/>
              </w:rPr>
              <w:t>（2012年本）、《限制用地项目目录（2012年本）》、《禁止用地项目目录（2012年本）》、《江苏省限制用地项目目录（2013年本）》、《江苏省禁止用地项目目录（2013年本）》，</w:t>
            </w:r>
            <w:r>
              <w:rPr>
                <w:rFonts w:ascii="Times New Roman" w:hAnsi="Times New Roman" w:eastAsia="仿宋_GB2312"/>
                <w:bCs/>
                <w:color w:val="000000"/>
                <w:sz w:val="24"/>
                <w:szCs w:val="24"/>
              </w:rPr>
              <w:t>项目不属于</w:t>
            </w:r>
            <w:r>
              <w:rPr>
                <w:rFonts w:hint="eastAsia" w:ascii="Times New Roman" w:hAnsi="Times New Roman" w:eastAsia="仿宋_GB2312"/>
                <w:bCs/>
                <w:color w:val="000000"/>
                <w:sz w:val="24"/>
                <w:szCs w:val="24"/>
              </w:rPr>
              <w:t>其中限制和</w:t>
            </w:r>
            <w:r>
              <w:rPr>
                <w:rFonts w:ascii="Times New Roman" w:hAnsi="Times New Roman" w:eastAsia="仿宋_GB2312"/>
                <w:bCs/>
                <w:color w:val="000000"/>
                <w:sz w:val="24"/>
                <w:szCs w:val="24"/>
              </w:rPr>
              <w:t>禁止</w:t>
            </w:r>
            <w:r>
              <w:rPr>
                <w:rFonts w:hint="eastAsia" w:ascii="Times New Roman" w:hAnsi="Times New Roman" w:eastAsia="仿宋_GB2312"/>
                <w:bCs/>
                <w:color w:val="000000"/>
                <w:sz w:val="24"/>
                <w:szCs w:val="24"/>
              </w:rPr>
              <w:t>用地</w:t>
            </w:r>
            <w:r>
              <w:rPr>
                <w:rFonts w:ascii="Times New Roman" w:hAnsi="Times New Roman" w:eastAsia="仿宋_GB2312"/>
                <w:bCs/>
                <w:color w:val="000000"/>
                <w:sz w:val="24"/>
                <w:szCs w:val="24"/>
              </w:rPr>
              <w:t>项目。对照</w:t>
            </w:r>
            <w:r>
              <w:rPr>
                <w:rFonts w:hint="eastAsia" w:ascii="Times New Roman" w:hAnsi="Times New Roman" w:eastAsia="仿宋_GB2312"/>
                <w:bCs/>
                <w:color w:val="000000"/>
                <w:sz w:val="24"/>
                <w:szCs w:val="24"/>
              </w:rPr>
              <w:t>南京市《市政府关于印发建立严格的环境准入制度实施方案的通知》（宁政发[2015]37号）</w:t>
            </w:r>
            <w:r>
              <w:rPr>
                <w:rFonts w:ascii="Times New Roman" w:hAnsi="Times New Roman" w:eastAsia="仿宋_GB2312"/>
                <w:bCs/>
                <w:color w:val="000000"/>
                <w:sz w:val="24"/>
                <w:szCs w:val="24"/>
              </w:rPr>
              <w:t>，项目不属于</w:t>
            </w:r>
            <w:r>
              <w:rPr>
                <w:rFonts w:hint="eastAsia" w:ascii="Times New Roman" w:hAnsi="Times New Roman" w:eastAsia="仿宋_GB2312"/>
                <w:bCs/>
                <w:color w:val="000000"/>
                <w:sz w:val="24"/>
                <w:szCs w:val="24"/>
              </w:rPr>
              <w:t>高耗能、高污染项目</w:t>
            </w:r>
            <w:r>
              <w:rPr>
                <w:rFonts w:ascii="Times New Roman" w:hAnsi="Times New Roman" w:eastAsia="仿宋_GB2312"/>
                <w:bCs/>
                <w:color w:val="000000"/>
                <w:sz w:val="24"/>
                <w:szCs w:val="24"/>
              </w:rPr>
              <w:t>。对照</w:t>
            </w:r>
            <w:r>
              <w:rPr>
                <w:rFonts w:hint="eastAsia" w:ascii="Times New Roman" w:hAnsi="Times New Roman" w:eastAsia="仿宋_GB2312"/>
                <w:bCs/>
                <w:color w:val="000000"/>
                <w:sz w:val="24"/>
                <w:szCs w:val="24"/>
              </w:rPr>
              <w:t>《南京市建设项目环境准入暂行规定》（宁政发[2015]251号）、《市场准入负面清单（2020年版）》（发改经体[2020]1880号）、《&lt;长江经济带发展负面清单指南&gt;江苏省实施细则（试行）》（苏长江办发[2019]136号）</w:t>
            </w:r>
            <w:r>
              <w:rPr>
                <w:rFonts w:ascii="Times New Roman" w:hAnsi="Times New Roman" w:eastAsia="仿宋_GB2312"/>
                <w:bCs/>
                <w:color w:val="000000"/>
                <w:sz w:val="24"/>
                <w:szCs w:val="24"/>
              </w:rPr>
              <w:t>，项目不属于文中的禁止和限制</w:t>
            </w:r>
            <w:r>
              <w:rPr>
                <w:rFonts w:hint="eastAsia" w:ascii="Times New Roman" w:hAnsi="Times New Roman" w:eastAsia="仿宋_GB2312"/>
                <w:bCs/>
                <w:color w:val="000000"/>
                <w:sz w:val="24"/>
                <w:szCs w:val="24"/>
              </w:rPr>
              <w:t>项目</w:t>
            </w:r>
            <w:r>
              <w:rPr>
                <w:rFonts w:ascii="Times New Roman" w:hAnsi="Times New Roman" w:eastAsia="仿宋_GB2312"/>
                <w:bCs/>
                <w:color w:val="000000"/>
                <w:sz w:val="24"/>
                <w:szCs w:val="24"/>
              </w:rPr>
              <w:t>。</w:t>
            </w:r>
            <w:r>
              <w:rPr>
                <w:rFonts w:ascii="Times New Roman" w:hAnsi="Times New Roman" w:eastAsia="仿宋_GB2312"/>
                <w:color w:val="000000"/>
                <w:sz w:val="24"/>
                <w:szCs w:val="24"/>
              </w:rPr>
              <w:t>因此，项目符合国家和地方产业政策。</w:t>
            </w:r>
          </w:p>
          <w:p>
            <w:pPr>
              <w:autoSpaceDE w:val="0"/>
              <w:autoSpaceDN w:val="0"/>
              <w:adjustRightInd w:val="0"/>
              <w:snapToGrid w:val="0"/>
              <w:spacing w:line="500" w:lineRule="exact"/>
              <w:ind w:firstLine="480" w:firstLineChars="200"/>
              <w:rPr>
                <w:rFonts w:ascii="Times New Roman" w:hAnsi="Times New Roman" w:eastAsia="仿宋_GB2312"/>
                <w:color w:val="000000"/>
                <w:sz w:val="24"/>
                <w:szCs w:val="24"/>
              </w:rPr>
            </w:pPr>
            <w:r>
              <w:rPr>
                <w:rFonts w:hint="eastAsia" w:ascii="Times New Roman" w:hAnsi="Times New Roman" w:eastAsia="仿宋_GB2312"/>
                <w:color w:val="000000"/>
                <w:sz w:val="24"/>
                <w:szCs w:val="24"/>
              </w:rPr>
              <w:t>对照</w:t>
            </w:r>
            <w:r>
              <w:rPr>
                <w:rFonts w:ascii="Times New Roman" w:hAnsi="Times New Roman" w:eastAsia="仿宋_GB2312"/>
                <w:color w:val="000000"/>
                <w:sz w:val="24"/>
                <w:szCs w:val="24"/>
              </w:rPr>
              <w:t>《南京市鼓楼区总体规划》（2013-2030），</w:t>
            </w:r>
            <w:r>
              <w:rPr>
                <w:rFonts w:hint="eastAsia" w:ascii="Times New Roman" w:hAnsi="Times New Roman" w:eastAsia="仿宋_GB2312"/>
                <w:color w:val="000000"/>
                <w:sz w:val="24"/>
                <w:szCs w:val="24"/>
              </w:rPr>
              <w:t>项目</w:t>
            </w:r>
            <w:r>
              <w:rPr>
                <w:rFonts w:ascii="Times New Roman" w:hAnsi="Times New Roman" w:eastAsia="仿宋_GB2312"/>
                <w:color w:val="000000"/>
                <w:sz w:val="24"/>
                <w:szCs w:val="24"/>
              </w:rPr>
              <w:t>符合该区域教育科研设计用地规划。</w:t>
            </w:r>
          </w:p>
          <w:p>
            <w:pPr>
              <w:adjustRightInd w:val="0"/>
              <w:spacing w:line="500" w:lineRule="exact"/>
              <w:ind w:firstLine="480" w:firstLineChars="200"/>
              <w:textAlignment w:val="baseline"/>
              <w:rPr>
                <w:rFonts w:ascii="Times New Roman" w:hAnsi="Times New Roman" w:eastAsia="仿宋_GB2312"/>
                <w:snapToGrid w:val="0"/>
                <w:color w:val="000000"/>
                <w:kern w:val="0"/>
                <w:sz w:val="24"/>
                <w:szCs w:val="24"/>
              </w:rPr>
            </w:pPr>
            <w:r>
              <w:rPr>
                <w:rFonts w:ascii="Times New Roman" w:hAnsi="Times New Roman" w:eastAsia="仿宋_GB2312"/>
                <w:color w:val="000000"/>
                <w:sz w:val="24"/>
                <w:szCs w:val="24"/>
              </w:rPr>
              <w:t>本项目符合</w:t>
            </w:r>
            <w:r>
              <w:rPr>
                <w:rFonts w:ascii="Times New Roman" w:hAnsi="Times New Roman" w:eastAsia="仿宋_GB2312"/>
                <w:bCs/>
                <w:color w:val="000000"/>
                <w:sz w:val="24"/>
                <w:szCs w:val="24"/>
              </w:rPr>
              <w:t>《国务院关于印发打赢蓝天保卫战三年行动计划的通知》（国发[2018]22号）、《省政府关于印发打赢蓝天保卫战三年行动计划实施方案的通知》（苏政发[2018]122号）、</w:t>
            </w:r>
            <w:r>
              <w:rPr>
                <w:rFonts w:hint="eastAsia" w:ascii="Times New Roman" w:hAnsi="Times New Roman" w:eastAsia="仿宋_GB2312"/>
                <w:color w:val="000000"/>
                <w:kern w:val="0"/>
                <w:sz w:val="24"/>
                <w:szCs w:val="24"/>
              </w:rPr>
              <w:t>《“两减六治三提升”专项行动方案》（苏发[2016]47号）、《江苏省“两减六治三提升”专项行动实施方案》（苏政办发[2017]30号）</w:t>
            </w:r>
            <w:r>
              <w:rPr>
                <w:rFonts w:ascii="Times New Roman" w:hAnsi="Times New Roman" w:eastAsia="仿宋_GB2312"/>
                <w:color w:val="000000"/>
                <w:kern w:val="0"/>
                <w:sz w:val="24"/>
                <w:szCs w:val="24"/>
              </w:rPr>
              <w:t>等文件要求。</w:t>
            </w:r>
          </w:p>
          <w:p>
            <w:pPr>
              <w:adjustRightInd w:val="0"/>
              <w:spacing w:line="500" w:lineRule="exact"/>
              <w:ind w:firstLine="480" w:firstLineChars="200"/>
              <w:textAlignment w:val="baseline"/>
              <w:rPr>
                <w:rFonts w:ascii="Times New Roman" w:hAnsi="Times New Roman" w:eastAsia="仿宋_GB2312"/>
                <w:color w:val="000000"/>
                <w:kern w:val="0"/>
                <w:sz w:val="24"/>
                <w:szCs w:val="24"/>
              </w:rPr>
            </w:pPr>
            <w:r>
              <w:rPr>
                <w:rFonts w:ascii="Times New Roman" w:hAnsi="Times New Roman" w:eastAsia="仿宋_GB2312"/>
                <w:snapToGrid w:val="0"/>
                <w:color w:val="000000"/>
                <w:kern w:val="0"/>
                <w:sz w:val="24"/>
                <w:szCs w:val="24"/>
              </w:rPr>
              <w:t>本项目严守</w:t>
            </w:r>
            <w:r>
              <w:rPr>
                <w:rFonts w:ascii="Times New Roman" w:hAnsi="Times New Roman" w:eastAsia="仿宋_GB2312"/>
                <w:color w:val="000000"/>
                <w:kern w:val="0"/>
                <w:sz w:val="24"/>
                <w:szCs w:val="24"/>
              </w:rPr>
              <w:t>生态保护红线、资源利用上线、环境质量底线，产生的废水、废气、固废和噪声均得到有效处理处置，符合</w:t>
            </w:r>
            <w:r>
              <w:rPr>
                <w:rFonts w:hint="eastAsia" w:ascii="Times New Roman" w:hAnsi="Times New Roman" w:eastAsia="仿宋_GB2312"/>
                <w:color w:val="000000"/>
                <w:kern w:val="0"/>
                <w:sz w:val="24"/>
                <w:szCs w:val="24"/>
              </w:rPr>
              <w:t>“三线一单”</w:t>
            </w:r>
            <w:r>
              <w:rPr>
                <w:rFonts w:ascii="Times New Roman" w:hAnsi="Times New Roman" w:eastAsia="仿宋_GB2312"/>
                <w:color w:val="000000"/>
                <w:kern w:val="0"/>
                <w:sz w:val="24"/>
                <w:szCs w:val="24"/>
              </w:rPr>
              <w:t>要求。</w:t>
            </w:r>
          </w:p>
          <w:p>
            <w:pPr>
              <w:adjustRightInd w:val="0"/>
              <w:snapToGrid w:val="0"/>
              <w:spacing w:line="48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2、实现达标排放</w:t>
            </w:r>
          </w:p>
          <w:p>
            <w:pPr>
              <w:pStyle w:val="62"/>
              <w:spacing w:line="500" w:lineRule="exact"/>
              <w:ind w:firstLine="480"/>
              <w:rPr>
                <w:rFonts w:eastAsia="仿宋_GB2312"/>
                <w:szCs w:val="24"/>
              </w:rPr>
            </w:pPr>
            <w:r>
              <w:rPr>
                <w:rFonts w:eastAsia="仿宋_GB2312"/>
                <w:szCs w:val="24"/>
              </w:rPr>
              <w:t>废气：项目实验室设置通风橱、集气罩收集实验废气，分别经1套活性炭吸附装置处理后，通过楼顶1根25m排气筒排放，VOCs排放满足天津市《工业企业挥发性有机物排放控制标准》（DB 12/524-2014）表2标准，氯化氢、氮氧化物、硫酸雾、氟化物执行《大气污染物综合排放标准》（GB 16297-1996）表2二级标准。建设项目产生的大气污染物对周围大气环境影响较小，不会降低大气环境质量。</w:t>
            </w:r>
          </w:p>
          <w:p>
            <w:pPr>
              <w:pStyle w:val="62"/>
              <w:spacing w:line="500" w:lineRule="exact"/>
              <w:ind w:firstLine="480"/>
              <w:rPr>
                <w:rFonts w:eastAsia="仿宋_GB2312"/>
                <w:szCs w:val="24"/>
              </w:rPr>
            </w:pPr>
            <w:r>
              <w:rPr>
                <w:rFonts w:eastAsia="仿宋_GB2312"/>
                <w:szCs w:val="24"/>
              </w:rPr>
              <w:t>废水：项目排水依托南京市鼓楼区凤凰西街241号现有排水系统，废水主要为</w:t>
            </w:r>
            <w:r>
              <w:rPr>
                <w:rFonts w:hint="eastAsia" w:eastAsia="仿宋_GB2312"/>
                <w:szCs w:val="24"/>
              </w:rPr>
              <w:t>生活污水、反冲洗废水和反渗透浓水、仪器及器皿润洗废水、实验室仪器及器皿清洗废水、循环冷却系统废水以及实验室台面及地面擦洗废水，混合后</w:t>
            </w:r>
            <w:r>
              <w:rPr>
                <w:rFonts w:eastAsia="仿宋_GB2312"/>
                <w:szCs w:val="24"/>
              </w:rPr>
              <w:t>经</w:t>
            </w:r>
            <w:r>
              <w:rPr>
                <w:rFonts w:hint="eastAsia" w:eastAsia="仿宋_GB2312"/>
                <w:szCs w:val="24"/>
              </w:rPr>
              <w:t>化粪池</w:t>
            </w:r>
            <w:r>
              <w:rPr>
                <w:rFonts w:eastAsia="仿宋_GB2312"/>
                <w:szCs w:val="24"/>
              </w:rPr>
              <w:t>预处理后达接管标准后，接管市政污水管网，排至江心洲污水处理厂处理，达标尾水排至长江，对周围水环境质量影响较小。</w:t>
            </w:r>
          </w:p>
          <w:p>
            <w:pPr>
              <w:pStyle w:val="91"/>
              <w:spacing w:line="500" w:lineRule="exact"/>
              <w:ind w:firstLine="480"/>
              <w:rPr>
                <w:rFonts w:eastAsia="仿宋_GB2312"/>
                <w:color w:val="000000"/>
                <w:szCs w:val="24"/>
              </w:rPr>
            </w:pPr>
            <w:r>
              <w:rPr>
                <w:rFonts w:eastAsia="仿宋_GB2312"/>
                <w:color w:val="000000"/>
                <w:szCs w:val="24"/>
              </w:rPr>
              <w:t>固体废弃物：项目产生的生活垃圾和废</w:t>
            </w:r>
            <w:r>
              <w:rPr>
                <w:rFonts w:hint="eastAsia" w:eastAsia="仿宋_GB2312"/>
                <w:color w:val="000000"/>
                <w:szCs w:val="24"/>
              </w:rPr>
              <w:t>反渗透膜</w:t>
            </w:r>
            <w:r>
              <w:rPr>
                <w:rFonts w:eastAsia="仿宋_GB2312"/>
                <w:color w:val="000000"/>
                <w:szCs w:val="24"/>
              </w:rPr>
              <w:t>由环卫部门统一清运；废</w:t>
            </w:r>
            <w:r>
              <w:rPr>
                <w:rFonts w:hint="eastAsia" w:eastAsia="仿宋_GB2312"/>
                <w:color w:val="000000"/>
                <w:szCs w:val="24"/>
              </w:rPr>
              <w:t>玻璃器皿</w:t>
            </w:r>
            <w:r>
              <w:rPr>
                <w:rFonts w:eastAsia="仿宋_GB2312"/>
                <w:color w:val="000000"/>
                <w:szCs w:val="24"/>
              </w:rPr>
              <w:t>等耗材、</w:t>
            </w:r>
            <w:r>
              <w:rPr>
                <w:rFonts w:hint="eastAsia" w:eastAsia="仿宋_GB2312"/>
                <w:color w:val="000000"/>
                <w:szCs w:val="24"/>
              </w:rPr>
              <w:t>废试剂瓶、废试剂包装、</w:t>
            </w:r>
            <w:r>
              <w:rPr>
                <w:rFonts w:eastAsia="仿宋_GB2312"/>
                <w:color w:val="000000"/>
                <w:szCs w:val="24"/>
              </w:rPr>
              <w:t>废固体</w:t>
            </w:r>
            <w:r>
              <w:rPr>
                <w:rFonts w:hint="eastAsia" w:eastAsia="仿宋_GB2312"/>
                <w:color w:val="000000"/>
                <w:szCs w:val="24"/>
              </w:rPr>
              <w:t>、液体</w:t>
            </w:r>
            <w:r>
              <w:rPr>
                <w:rFonts w:eastAsia="仿宋_GB2312"/>
                <w:color w:val="000000"/>
                <w:szCs w:val="24"/>
              </w:rPr>
              <w:t>样品、</w:t>
            </w:r>
            <w:r>
              <w:rPr>
                <w:rFonts w:hint="eastAsia" w:eastAsia="仿宋_GB2312"/>
                <w:color w:val="000000"/>
                <w:szCs w:val="24"/>
              </w:rPr>
              <w:t>科研、检测废液及前两道清洗废液</w:t>
            </w:r>
            <w:r>
              <w:rPr>
                <w:rFonts w:eastAsia="仿宋_GB2312"/>
                <w:color w:val="000000"/>
                <w:szCs w:val="24"/>
              </w:rPr>
              <w:t>、过期化学品、废活性炭收集后暂存于危险废物仓库，委托有资质的单位定期清运、处置。</w:t>
            </w:r>
            <w:r>
              <w:rPr>
                <w:rFonts w:hint="eastAsia" w:eastAsia="仿宋_GB2312"/>
                <w:color w:val="000000"/>
                <w:szCs w:val="24"/>
              </w:rPr>
              <w:t>科研实验产生的动植物尸体依据《实验动物管理条例》第三十一条的规定，装入专用尸体袋中存放于尸体冷藏柜(间)或冰柜内，集中作无害化处理。</w:t>
            </w:r>
            <w:r>
              <w:rPr>
                <w:rFonts w:eastAsia="仿宋_GB2312"/>
                <w:color w:val="000000"/>
                <w:szCs w:val="24"/>
              </w:rPr>
              <w:t>项目固体废弃物均得到妥善处置，对周围环境影响较小。</w:t>
            </w:r>
          </w:p>
          <w:p>
            <w:pPr>
              <w:pStyle w:val="62"/>
              <w:spacing w:line="500" w:lineRule="exact"/>
              <w:ind w:firstLine="480"/>
              <w:rPr>
                <w:rFonts w:eastAsia="仿宋_GB2312"/>
                <w:color w:val="000000" w:themeColor="text1"/>
                <w:szCs w:val="24"/>
                <w14:textFill>
                  <w14:solidFill>
                    <w14:schemeClr w14:val="tx1"/>
                  </w14:solidFill>
                </w14:textFill>
              </w:rPr>
            </w:pPr>
            <w:r>
              <w:rPr>
                <w:rFonts w:hint="eastAsia" w:eastAsia="仿宋_GB2312"/>
                <w:color w:val="000000" w:themeColor="text1"/>
                <w:szCs w:val="24"/>
                <w14:textFill>
                  <w14:solidFill>
                    <w14:schemeClr w14:val="tx1"/>
                  </w14:solidFill>
                </w14:textFill>
              </w:rPr>
              <w:t>噪声：本项目夜间不进行实验及测试等活动，营运期噪声主要为风机和空调外机产生的噪声，采取选用低噪声设备、设备隔声、基础减振等措施治理后，营运</w:t>
            </w:r>
            <w:r>
              <w:rPr>
                <w:rFonts w:hint="eastAsia" w:eastAsia="仿宋_GB2312"/>
                <w:szCs w:val="24"/>
              </w:rPr>
              <w:t>期间项目边界满足《工业企业厂界环境噪声排放标准》（GB12348-2008）2类标准，北侧边界满足4类标准。临近凤凰西街一侧敏感点（Z</w:t>
            </w:r>
            <w:r>
              <w:rPr>
                <w:rFonts w:eastAsia="仿宋_GB2312"/>
                <w:szCs w:val="24"/>
              </w:rPr>
              <w:t>5</w:t>
            </w:r>
            <w:r>
              <w:rPr>
                <w:rFonts w:hint="eastAsia" w:eastAsia="仿宋_GB2312"/>
                <w:szCs w:val="24"/>
              </w:rPr>
              <w:t>、Z</w:t>
            </w:r>
            <w:r>
              <w:rPr>
                <w:rFonts w:eastAsia="仿宋_GB2312"/>
                <w:szCs w:val="24"/>
              </w:rPr>
              <w:t>6</w:t>
            </w:r>
            <w:r>
              <w:rPr>
                <w:rFonts w:hint="eastAsia" w:eastAsia="仿宋_GB2312"/>
                <w:szCs w:val="24"/>
              </w:rPr>
              <w:t>、Z</w:t>
            </w:r>
            <w:r>
              <w:rPr>
                <w:rFonts w:eastAsia="仿宋_GB2312"/>
                <w:szCs w:val="24"/>
              </w:rPr>
              <w:t>8</w:t>
            </w:r>
            <w:r>
              <w:rPr>
                <w:rFonts w:hint="eastAsia" w:eastAsia="仿宋_GB2312"/>
                <w:szCs w:val="24"/>
              </w:rPr>
              <w:t>）声环境预测均可达到《声环境质量标准》(GB3096-2008)和中的4a类标准，其它敏感目标监测点声环境预测均可达到《声环境质量标准》(GB3096-2008)中的2类标准</w:t>
            </w:r>
            <w:r>
              <w:rPr>
                <w:rFonts w:hint="eastAsia" w:eastAsia="仿宋_GB2312"/>
                <w:color w:val="000000" w:themeColor="text1"/>
                <w:szCs w:val="24"/>
                <w14:textFill>
                  <w14:solidFill>
                    <w14:schemeClr w14:val="tx1"/>
                  </w14:solidFill>
                </w14:textFill>
              </w:rPr>
              <w:t>。</w:t>
            </w:r>
          </w:p>
          <w:p>
            <w:pPr>
              <w:pStyle w:val="16"/>
              <w:adjustRightInd w:val="0"/>
              <w:snapToGrid w:val="0"/>
              <w:spacing w:line="500" w:lineRule="exact"/>
              <w:ind w:firstLineChars="200"/>
              <w:rPr>
                <w:rFonts w:ascii="Times New Roman" w:hAnsi="Times New Roman"/>
                <w:snapToGrid w:val="0"/>
                <w:color w:val="000000"/>
                <w:kern w:val="0"/>
                <w:sz w:val="24"/>
                <w:szCs w:val="24"/>
              </w:rPr>
            </w:pPr>
            <w:r>
              <w:rPr>
                <w:rFonts w:ascii="Times New Roman" w:hAnsi="Times New Roman"/>
                <w:snapToGrid w:val="0"/>
                <w:color w:val="000000"/>
                <w:kern w:val="0"/>
                <w:sz w:val="24"/>
                <w:szCs w:val="24"/>
              </w:rPr>
              <w:t>总量控制：有组织大气污染物排放总量为：VOCs 0.0256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/a，氯化氢0.00074</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/a，氮氧化物0.000276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/a，硫酸雾</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.000931</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/a，氟化物0.000192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/a，在鼓楼区内平衡，报环保部门核批后执行；无组织大气污染物排放总量为：VOCs 0.0175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/a，氯化氢0.000185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/a，氮氧化物0.000069</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/a，硫酸雾0.000233</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/a，氟化物0.000048</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/a，仅作为考核量。废水接管考核量为：废水量282.812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/a、COD 0.08484</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/a、SS 0.01697</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/a、氨氮0.00566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/a、总磷0.00085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/a、氟化物0.000002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w:t>
            </w:r>
            <w:r>
              <w:rPr>
                <w:rFonts w:hint="eastAsia" w:ascii="Times New Roman" w:hAnsi="Times New Roman"/>
                <w:snapToGrid w:val="0"/>
                <w:color w:val="000000"/>
                <w:kern w:val="0"/>
                <w:sz w:val="24"/>
                <w:szCs w:val="24"/>
              </w:rPr>
              <w:t>、L</w:t>
            </w:r>
            <w:r>
              <w:rPr>
                <w:rFonts w:ascii="Times New Roman" w:hAnsi="Times New Roman"/>
                <w:snapToGrid w:val="0"/>
                <w:color w:val="000000"/>
                <w:kern w:val="0"/>
                <w:sz w:val="24"/>
                <w:szCs w:val="24"/>
              </w:rPr>
              <w:t>AS 0.00006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w:t>
            </w:r>
            <w:r>
              <w:rPr>
                <w:rFonts w:hint="eastAsia" w:ascii="Times New Roman" w:hAnsi="Times New Roman"/>
                <w:snapToGrid w:val="0"/>
                <w:color w:val="000000"/>
                <w:kern w:val="0"/>
                <w:sz w:val="24"/>
                <w:szCs w:val="24"/>
              </w:rPr>
              <w:t>。本项目废水水质可达江心洲污水处理厂水质接管标准要求，从运行时间、接收水量、管网铺设等方面具有接管可行性，对周围地表水环境影响较小。</w:t>
            </w:r>
            <w:r>
              <w:rPr>
                <w:rFonts w:ascii="Times New Roman" w:hAnsi="Times New Roman"/>
                <w:snapToGrid w:val="0"/>
                <w:color w:val="000000"/>
                <w:kern w:val="0"/>
                <w:sz w:val="24"/>
                <w:szCs w:val="24"/>
              </w:rPr>
              <w:t>全厂最终外排量：废水量282.812t/a、COD 0.01414</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、SS 0.0028</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、氨氮</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.00566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、总磷</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.00085</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w:t>
            </w:r>
            <w:r>
              <w:rPr>
                <w:rFonts w:ascii="Times New Roman" w:hAnsi="Times New Roman"/>
                <w:snapToGrid w:val="0"/>
                <w:color w:val="000000"/>
                <w:kern w:val="0"/>
                <w:sz w:val="24"/>
                <w:szCs w:val="24"/>
              </w:rPr>
              <w:t>、氟化物</w:t>
            </w:r>
            <w:r>
              <w:rPr>
                <w:rFonts w:hint="eastAsia" w:ascii="Times New Roman" w:hAnsi="Times New Roman"/>
                <w:snapToGrid w:val="0"/>
                <w:color w:val="000000"/>
                <w:kern w:val="0"/>
                <w:sz w:val="24"/>
                <w:szCs w:val="24"/>
              </w:rPr>
              <w:t>0</w:t>
            </w:r>
            <w:r>
              <w:rPr>
                <w:rFonts w:ascii="Times New Roman" w:hAnsi="Times New Roman"/>
                <w:snapToGrid w:val="0"/>
                <w:color w:val="000000"/>
                <w:kern w:val="0"/>
                <w:sz w:val="24"/>
                <w:szCs w:val="24"/>
              </w:rPr>
              <w:t>.000002</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w:t>
            </w:r>
            <w:r>
              <w:rPr>
                <w:rFonts w:hint="eastAsia" w:ascii="Times New Roman" w:hAnsi="Times New Roman"/>
                <w:snapToGrid w:val="0"/>
                <w:color w:val="000000"/>
                <w:kern w:val="0"/>
                <w:sz w:val="24"/>
                <w:szCs w:val="24"/>
              </w:rPr>
              <w:t>a、L</w:t>
            </w:r>
            <w:r>
              <w:rPr>
                <w:rFonts w:ascii="Times New Roman" w:hAnsi="Times New Roman"/>
                <w:snapToGrid w:val="0"/>
                <w:color w:val="000000"/>
                <w:kern w:val="0"/>
                <w:sz w:val="24"/>
                <w:szCs w:val="24"/>
              </w:rPr>
              <w:t>AS 0.00006</w:t>
            </w:r>
            <w:r>
              <w:rPr>
                <w:rFonts w:hint="eastAsia" w:ascii="Times New Roman" w:hAnsi="Times New Roman"/>
                <w:snapToGrid w:val="0"/>
                <w:color w:val="000000"/>
                <w:kern w:val="0"/>
                <w:sz w:val="24"/>
                <w:szCs w:val="24"/>
              </w:rPr>
              <w:t>t</w:t>
            </w:r>
            <w:r>
              <w:rPr>
                <w:rFonts w:ascii="Times New Roman" w:hAnsi="Times New Roman"/>
                <w:snapToGrid w:val="0"/>
                <w:color w:val="000000"/>
                <w:kern w:val="0"/>
                <w:sz w:val="24"/>
                <w:szCs w:val="24"/>
              </w:rPr>
              <w:t>/a</w:t>
            </w:r>
            <w:r>
              <w:rPr>
                <w:rFonts w:hint="eastAsia" w:ascii="Times New Roman" w:hAnsi="Times New Roman"/>
                <w:snapToGrid w:val="0"/>
                <w:color w:val="000000"/>
                <w:kern w:val="0"/>
                <w:sz w:val="24"/>
                <w:szCs w:val="24"/>
              </w:rPr>
              <w:t>，总量</w:t>
            </w:r>
            <w:r>
              <w:rPr>
                <w:rFonts w:ascii="Times New Roman" w:hAnsi="Times New Roman"/>
                <w:snapToGrid w:val="0"/>
                <w:color w:val="000000"/>
                <w:kern w:val="0"/>
                <w:sz w:val="24"/>
                <w:szCs w:val="24"/>
              </w:rPr>
              <w:t>纳入江心洲污水处理厂总量范围内。项目固废均得到有效处置，排放总量为零。</w:t>
            </w:r>
          </w:p>
          <w:p>
            <w:pPr>
              <w:adjustRightInd w:val="0"/>
              <w:snapToGrid w:val="0"/>
              <w:spacing w:line="50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3、</w:t>
            </w:r>
            <w:r>
              <w:rPr>
                <w:rFonts w:hint="eastAsia" w:ascii="Times New Roman" w:hAnsi="Times New Roman" w:eastAsia="仿宋_GB2312"/>
                <w:b/>
                <w:color w:val="000000"/>
                <w:sz w:val="24"/>
                <w:szCs w:val="24"/>
              </w:rPr>
              <w:t>环境影响可接受</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根据《2019年南京市环境状况公报》，主要污染物为PM</w:t>
            </w:r>
            <w:r>
              <w:rPr>
                <w:rFonts w:ascii="Times New Roman" w:hAnsi="Times New Roman" w:eastAsia="仿宋_GB2312"/>
                <w:color w:val="000000"/>
                <w:sz w:val="24"/>
                <w:szCs w:val="24"/>
                <w:vertAlign w:val="subscript"/>
              </w:rPr>
              <w:t>2.5</w:t>
            </w:r>
            <w:r>
              <w:rPr>
                <w:rFonts w:ascii="Times New Roman" w:hAnsi="Times New Roman" w:eastAsia="仿宋_GB2312"/>
                <w:color w:val="000000"/>
                <w:sz w:val="24"/>
                <w:szCs w:val="24"/>
              </w:rPr>
              <w:t>和O</w:t>
            </w:r>
            <w:r>
              <w:rPr>
                <w:rFonts w:ascii="Times New Roman" w:hAnsi="Times New Roman" w:eastAsia="仿宋_GB2312"/>
                <w:color w:val="000000"/>
                <w:sz w:val="24"/>
                <w:szCs w:val="24"/>
                <w:vertAlign w:val="subscript"/>
              </w:rPr>
              <w:t>3</w:t>
            </w:r>
            <w:r>
              <w:rPr>
                <w:rFonts w:ascii="Times New Roman" w:hAnsi="Times New Roman" w:eastAsia="仿宋_GB2312"/>
                <w:color w:val="000000"/>
                <w:sz w:val="24"/>
                <w:szCs w:val="24"/>
              </w:rPr>
              <w:t>。根据《环境影响评价技术导则 大气环境》（HJ2.2-2018）判定，南京市为环境空气质量不达标区。通过落实《南京市打赢蓝天保卫战实施方案》、《南京市大气污染防治行动计划》等相关文件的大气污染防治措施，区域大气环境质量状况可以得到进一步改善。2019年，全市水环境质量明显改善，纳入《江苏省“十三五”水环境质量考核目标》的22个地表水断面水质全部达标，水质优良（Ⅲ类及以上）断面比例100%，较上年提升18.2个百分点，无丧失使用功能（劣Ⅴ类）断面。全市功能区噪声监测点位28个。昼间噪声达标率为99.1％，夜间噪声达标率为88.4%。</w:t>
            </w:r>
          </w:p>
          <w:p>
            <w:pPr>
              <w:adjustRightInd w:val="0"/>
              <w:snapToGrid w:val="0"/>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本项目污染物均能得到妥善处置，对周边环境影响较小，不改变环境原有功能。</w:t>
            </w:r>
          </w:p>
          <w:p>
            <w:pPr>
              <w:adjustRightInd w:val="0"/>
              <w:snapToGrid w:val="0"/>
              <w:spacing w:line="480" w:lineRule="exact"/>
              <w:ind w:firstLine="482" w:firstLineChars="200"/>
              <w:rPr>
                <w:rFonts w:ascii="Times New Roman" w:hAnsi="Times New Roman" w:eastAsia="仿宋_GB2312"/>
                <w:b/>
                <w:color w:val="000000"/>
                <w:sz w:val="24"/>
                <w:szCs w:val="24"/>
              </w:rPr>
            </w:pPr>
            <w:r>
              <w:rPr>
                <w:rFonts w:ascii="Times New Roman" w:hAnsi="Times New Roman" w:eastAsia="仿宋_GB2312"/>
                <w:b/>
                <w:color w:val="000000"/>
                <w:sz w:val="24"/>
                <w:szCs w:val="24"/>
              </w:rPr>
              <w:t>4、总结论</w:t>
            </w:r>
          </w:p>
          <w:p>
            <w:pPr>
              <w:pStyle w:val="62"/>
              <w:spacing w:line="500" w:lineRule="exact"/>
              <w:ind w:firstLine="480"/>
              <w:rPr>
                <w:rFonts w:eastAsia="仿宋_GB2312"/>
                <w:szCs w:val="24"/>
              </w:rPr>
            </w:pPr>
            <w:r>
              <w:rPr>
                <w:rFonts w:eastAsia="仿宋_GB2312"/>
                <w:szCs w:val="24"/>
              </w:rPr>
              <w:t>综上所述，项目符合国家及地方产业政策，符合区域规划；项目“三废”均可得到妥善处置，环境风险可控，对周边影响较小。因此，从环境保护的角度来说该项目是可行的。</w:t>
            </w:r>
          </w:p>
          <w:p>
            <w:pPr>
              <w:pStyle w:val="83"/>
              <w:spacing w:line="480" w:lineRule="exact"/>
              <w:rPr>
                <w:rFonts w:ascii="Times New Roman" w:hAnsi="Times New Roman" w:eastAsia="仿宋_GB2312"/>
              </w:rPr>
            </w:pPr>
            <w:r>
              <w:rPr>
                <w:rFonts w:ascii="Times New Roman" w:hAnsi="Times New Roman" w:eastAsia="仿宋_GB2312"/>
              </w:rPr>
              <w:t>二、要求和建议</w:t>
            </w:r>
          </w:p>
          <w:p>
            <w:pPr>
              <w:pStyle w:val="62"/>
              <w:spacing w:line="500" w:lineRule="exact"/>
              <w:ind w:firstLine="480"/>
              <w:rPr>
                <w:rFonts w:eastAsia="仿宋_GB2312"/>
                <w:szCs w:val="24"/>
              </w:rPr>
            </w:pPr>
            <w:r>
              <w:rPr>
                <w:rFonts w:eastAsia="仿宋_GB2312"/>
                <w:szCs w:val="24"/>
              </w:rPr>
              <w:t>1、建设单位要严格执行“三同时”，确保污染物达标排放。</w:t>
            </w:r>
          </w:p>
          <w:p>
            <w:pPr>
              <w:pStyle w:val="62"/>
              <w:spacing w:line="500" w:lineRule="exact"/>
              <w:ind w:firstLine="480"/>
              <w:rPr>
                <w:rFonts w:eastAsia="仿宋_GB2312"/>
                <w:szCs w:val="24"/>
              </w:rPr>
            </w:pPr>
            <w:r>
              <w:rPr>
                <w:rFonts w:eastAsia="仿宋_GB2312"/>
                <w:szCs w:val="24"/>
              </w:rPr>
              <w:t>2、项目的建设应重视引进和建立先进的环保管理模式，完善管理制度，强化职工的环保意识。</w:t>
            </w:r>
          </w:p>
          <w:p>
            <w:pPr>
              <w:pStyle w:val="62"/>
              <w:spacing w:line="500" w:lineRule="exact"/>
              <w:ind w:firstLine="480"/>
              <w:rPr>
                <w:rFonts w:eastAsia="仿宋_GB2312"/>
                <w:szCs w:val="24"/>
              </w:rPr>
            </w:pPr>
            <w:r>
              <w:rPr>
                <w:rFonts w:eastAsia="仿宋_GB2312"/>
                <w:szCs w:val="24"/>
              </w:rPr>
              <w:t>3、若发现问题，单位应及时采取措施，防止发生环境污染；检查监督污染治理处理装置的运行、维修等管理情况。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1" w:hRule="atLeast"/>
        </w:trPr>
        <w:tc>
          <w:tcPr>
            <w:tcW w:w="8529" w:type="dxa"/>
          </w:tcPr>
          <w:p>
            <w:pPr>
              <w:tabs>
                <w:tab w:val="left" w:pos="934"/>
              </w:tabs>
              <w:spacing w:line="480" w:lineRule="exact"/>
              <w:jc w:val="center"/>
              <w:rPr>
                <w:rFonts w:ascii="Times New Roman" w:hAnsi="Times New Roman" w:eastAsia="仿宋_GB2312"/>
                <w:b/>
                <w:bCs/>
                <w:color w:val="000000"/>
                <w:sz w:val="24"/>
                <w:szCs w:val="24"/>
              </w:rPr>
            </w:pPr>
            <w:r>
              <w:rPr>
                <w:rFonts w:ascii="Times New Roman" w:hAnsi="Times New Roman" w:eastAsia="仿宋_GB2312"/>
                <w:b/>
                <w:bCs/>
                <w:color w:val="000000"/>
                <w:sz w:val="24"/>
                <w:szCs w:val="24"/>
              </w:rPr>
              <w:t>注  释</w:t>
            </w:r>
          </w:p>
          <w:p>
            <w:pPr>
              <w:tabs>
                <w:tab w:val="left" w:pos="934"/>
              </w:tabs>
              <w:spacing w:line="50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一、本报告表应附以下附件、附图：</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附件1  江苏省投资项目备案证</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附件2  </w:t>
            </w:r>
            <w:r>
              <w:rPr>
                <w:rFonts w:hint="eastAsia" w:ascii="Times New Roman" w:hAnsi="Times New Roman" w:eastAsia="仿宋_GB2312"/>
                <w:color w:val="000000"/>
                <w:sz w:val="24"/>
                <w:szCs w:val="24"/>
              </w:rPr>
              <w:t>事业单位法人证书</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附件3  </w:t>
            </w:r>
            <w:r>
              <w:rPr>
                <w:rFonts w:hint="eastAsia" w:ascii="Times New Roman" w:hAnsi="Times New Roman" w:eastAsia="仿宋_GB2312"/>
                <w:color w:val="000000"/>
                <w:sz w:val="24"/>
                <w:szCs w:val="24"/>
              </w:rPr>
              <w:t>噪声监测报告</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附件4  </w:t>
            </w:r>
            <w:r>
              <w:rPr>
                <w:rFonts w:hint="eastAsia" w:ascii="Times New Roman" w:hAnsi="Times New Roman" w:eastAsia="仿宋_GB2312"/>
                <w:color w:val="000000"/>
                <w:sz w:val="24"/>
                <w:szCs w:val="24"/>
              </w:rPr>
              <w:t>项目环评委托书</w:t>
            </w:r>
          </w:p>
          <w:p>
            <w:pPr>
              <w:tabs>
                <w:tab w:val="left" w:pos="934"/>
              </w:tabs>
              <w:spacing w:line="500" w:lineRule="exact"/>
              <w:ind w:firstLine="480" w:firstLineChars="200"/>
              <w:rPr>
                <w:rFonts w:ascii="Times New Roman" w:hAnsi="Times New Roman" w:eastAsia="仿宋_GB2312"/>
                <w:color w:val="000000"/>
                <w:sz w:val="24"/>
                <w:szCs w:val="24"/>
              </w:rPr>
            </w:pP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附图1  </w:t>
            </w:r>
            <w:r>
              <w:rPr>
                <w:rFonts w:hint="eastAsia" w:ascii="Times New Roman" w:hAnsi="Times New Roman" w:eastAsia="仿宋_GB2312"/>
                <w:color w:val="000000"/>
                <w:sz w:val="24"/>
                <w:szCs w:val="24"/>
              </w:rPr>
              <w:t>项目</w:t>
            </w:r>
            <w:r>
              <w:rPr>
                <w:rFonts w:ascii="Times New Roman" w:hAnsi="Times New Roman" w:eastAsia="仿宋_GB2312"/>
                <w:color w:val="000000"/>
                <w:sz w:val="24"/>
                <w:szCs w:val="24"/>
              </w:rPr>
              <w:t>地理位置图</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附图2  </w:t>
            </w:r>
            <w:r>
              <w:rPr>
                <w:rFonts w:hint="eastAsia" w:ascii="Times New Roman" w:hAnsi="Times New Roman" w:eastAsia="仿宋_GB2312"/>
                <w:color w:val="000000"/>
                <w:sz w:val="24"/>
                <w:szCs w:val="24"/>
              </w:rPr>
              <w:t>项目周边水系图</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附图3  </w:t>
            </w:r>
            <w:r>
              <w:rPr>
                <w:rFonts w:hint="eastAsia" w:ascii="Times New Roman" w:hAnsi="Times New Roman" w:eastAsia="仿宋_GB2312"/>
                <w:color w:val="000000"/>
                <w:sz w:val="24"/>
                <w:szCs w:val="24"/>
              </w:rPr>
              <w:t>项目周边5</w:t>
            </w:r>
            <w:r>
              <w:rPr>
                <w:rFonts w:ascii="Times New Roman" w:hAnsi="Times New Roman" w:eastAsia="仿宋_GB2312"/>
                <w:color w:val="000000"/>
                <w:sz w:val="24"/>
                <w:szCs w:val="24"/>
              </w:rPr>
              <w:t>00</w:t>
            </w:r>
            <w:r>
              <w:rPr>
                <w:rFonts w:hint="eastAsia" w:ascii="Times New Roman" w:hAnsi="Times New Roman" w:eastAsia="仿宋_GB2312"/>
                <w:color w:val="000000"/>
                <w:sz w:val="24"/>
                <w:szCs w:val="24"/>
              </w:rPr>
              <w:t>m概况图</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附图4</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 xml:space="preserve">1  </w:t>
            </w:r>
            <w:r>
              <w:rPr>
                <w:rFonts w:hint="eastAsia" w:ascii="Times New Roman" w:hAnsi="Times New Roman" w:eastAsia="仿宋_GB2312"/>
                <w:color w:val="000000"/>
                <w:sz w:val="24"/>
                <w:szCs w:val="24"/>
              </w:rPr>
              <w:t>项目平面布置图（一层、二层）</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附图4</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 xml:space="preserve">2  </w:t>
            </w:r>
            <w:r>
              <w:rPr>
                <w:rFonts w:hint="eastAsia" w:ascii="Times New Roman" w:hAnsi="Times New Roman" w:eastAsia="仿宋_GB2312"/>
                <w:color w:val="000000"/>
                <w:sz w:val="24"/>
                <w:szCs w:val="24"/>
              </w:rPr>
              <w:t>项目平面布置图（三层、四层）</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附图4</w:t>
            </w:r>
            <w:r>
              <w:rPr>
                <w:rFonts w:hint="eastAsia" w:ascii="Times New Roman" w:hAnsi="Times New Roman" w:eastAsia="仿宋_GB2312"/>
                <w:color w:val="000000"/>
                <w:sz w:val="24"/>
                <w:szCs w:val="24"/>
              </w:rPr>
              <w:t>-</w:t>
            </w:r>
            <w:r>
              <w:rPr>
                <w:rFonts w:ascii="Times New Roman" w:hAnsi="Times New Roman" w:eastAsia="仿宋_GB2312"/>
                <w:color w:val="000000"/>
                <w:sz w:val="24"/>
                <w:szCs w:val="24"/>
              </w:rPr>
              <w:t xml:space="preserve">2  </w:t>
            </w:r>
            <w:r>
              <w:rPr>
                <w:rFonts w:hint="eastAsia" w:ascii="Times New Roman" w:hAnsi="Times New Roman" w:eastAsia="仿宋_GB2312"/>
                <w:color w:val="000000"/>
                <w:sz w:val="24"/>
                <w:szCs w:val="24"/>
              </w:rPr>
              <w:t>项目平面布置图（五层）</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附图5  </w:t>
            </w:r>
            <w:r>
              <w:rPr>
                <w:rFonts w:hint="eastAsia" w:ascii="Times New Roman" w:hAnsi="Times New Roman" w:eastAsia="仿宋_GB2312"/>
                <w:color w:val="000000"/>
                <w:sz w:val="24"/>
                <w:szCs w:val="24"/>
              </w:rPr>
              <w:t>噪声监测点位图</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 xml:space="preserve">附图6  </w:t>
            </w:r>
            <w:r>
              <w:rPr>
                <w:rFonts w:hint="eastAsia" w:ascii="Times New Roman" w:hAnsi="Times New Roman" w:eastAsia="仿宋_GB2312"/>
                <w:color w:val="000000"/>
                <w:sz w:val="24"/>
                <w:szCs w:val="24"/>
              </w:rPr>
              <w:t>江苏省生态空间保护区域分布图</w:t>
            </w:r>
          </w:p>
          <w:p>
            <w:pPr>
              <w:tabs>
                <w:tab w:val="left" w:pos="934"/>
              </w:tabs>
              <w:spacing w:line="480" w:lineRule="exact"/>
              <w:rPr>
                <w:rFonts w:ascii="Times New Roman" w:hAnsi="Times New Roman" w:eastAsia="仿宋_GB2312"/>
                <w:color w:val="000000"/>
                <w:sz w:val="24"/>
                <w:szCs w:val="24"/>
              </w:rPr>
            </w:pPr>
          </w:p>
          <w:p>
            <w:pPr>
              <w:tabs>
                <w:tab w:val="left" w:pos="934"/>
              </w:tabs>
              <w:spacing w:line="50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二、如果本报告表不能说明项目产生的污染及对环境造成的影响，应进行专项评价。根据建设项目的特点和当地环境特征，应选下列1-2项进行专项评价。</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1、大气环境影响专项评价</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2、水环境影响专项评价（包括地表水和地下水）</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3、生态环境影响专项评价</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4、声影响专项评价</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5、土壤影响专项评价</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6、固体废弃物影响专项评价</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7、辐射环境影响专项评价（包括电离辐射和电磁辐射）</w:t>
            </w:r>
          </w:p>
          <w:p>
            <w:pPr>
              <w:tabs>
                <w:tab w:val="left" w:pos="934"/>
              </w:tabs>
              <w:spacing w:line="500" w:lineRule="exact"/>
              <w:ind w:firstLine="480" w:firstLineChars="200"/>
              <w:rPr>
                <w:rFonts w:ascii="Times New Roman" w:hAnsi="Times New Roman" w:eastAsia="仿宋_GB2312"/>
                <w:color w:val="000000"/>
                <w:sz w:val="24"/>
                <w:szCs w:val="24"/>
              </w:rPr>
            </w:pPr>
            <w:r>
              <w:rPr>
                <w:rFonts w:ascii="Times New Roman" w:hAnsi="Times New Roman" w:eastAsia="仿宋_GB2312"/>
                <w:color w:val="000000"/>
                <w:sz w:val="24"/>
                <w:szCs w:val="24"/>
              </w:rPr>
              <w:t>以上专项评价未包括的可另列专项，专项评价按照《环境影响评价技术导则》中的要求进行。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9" w:type="dxa"/>
          </w:tcPr>
          <w:p>
            <w:pPr>
              <w:spacing w:line="480" w:lineRule="exact"/>
              <w:rPr>
                <w:rFonts w:ascii="Times New Roman" w:hAnsi="Times New Roman" w:eastAsia="仿宋_GB2312"/>
                <w:bCs/>
                <w:color w:val="000000"/>
                <w:sz w:val="24"/>
                <w:szCs w:val="24"/>
              </w:rPr>
            </w:pPr>
            <w:r>
              <w:rPr>
                <w:rFonts w:ascii="Times New Roman" w:hAnsi="Times New Roman" w:eastAsia="仿宋_GB2312"/>
                <w:bCs/>
                <w:color w:val="000000"/>
                <w:sz w:val="24"/>
                <w:szCs w:val="24"/>
              </w:rPr>
              <w:t>预审意见：</w:t>
            </w: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ind w:firstLine="6812"/>
              <w:rPr>
                <w:rFonts w:ascii="Times New Roman" w:hAnsi="Times New Roman" w:eastAsia="仿宋_GB2312"/>
                <w:bCs/>
                <w:color w:val="000000"/>
                <w:sz w:val="24"/>
                <w:szCs w:val="24"/>
              </w:rPr>
            </w:pPr>
            <w:r>
              <w:rPr>
                <w:rFonts w:ascii="Times New Roman" w:hAnsi="Times New Roman" w:eastAsia="仿宋_GB2312"/>
                <w:bCs/>
                <w:color w:val="000000"/>
                <w:sz w:val="24"/>
                <w:szCs w:val="24"/>
              </w:rPr>
              <w:t>公章</w:t>
            </w:r>
          </w:p>
          <w:p>
            <w:pPr>
              <w:spacing w:line="480" w:lineRule="exact"/>
              <w:ind w:firstLine="6812"/>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ind w:firstLine="692"/>
              <w:rPr>
                <w:rFonts w:ascii="Times New Roman" w:hAnsi="Times New Roman" w:eastAsia="仿宋_GB2312"/>
                <w:bCs/>
                <w:color w:val="000000"/>
                <w:sz w:val="24"/>
                <w:szCs w:val="24"/>
              </w:rPr>
            </w:pPr>
            <w:r>
              <w:rPr>
                <w:rFonts w:ascii="Times New Roman" w:hAnsi="Times New Roman" w:eastAsia="仿宋_GB2312"/>
                <w:bCs/>
                <w:color w:val="000000"/>
                <w:sz w:val="24"/>
                <w:szCs w:val="24"/>
              </w:rPr>
              <w:t>经办人：   年   月   日</w:t>
            </w:r>
          </w:p>
          <w:p>
            <w:pPr>
              <w:spacing w:line="480" w:lineRule="exact"/>
              <w:ind w:firstLine="692"/>
              <w:rPr>
                <w:rFonts w:ascii="Times New Roman" w:hAnsi="Times New Roman" w:eastAsia="仿宋_GB2312"/>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5" w:hRule="atLeast"/>
        </w:trPr>
        <w:tc>
          <w:tcPr>
            <w:tcW w:w="8529" w:type="dxa"/>
          </w:tcPr>
          <w:p>
            <w:pPr>
              <w:spacing w:line="480" w:lineRule="exact"/>
              <w:rPr>
                <w:rFonts w:ascii="Times New Roman" w:hAnsi="Times New Roman" w:eastAsia="仿宋_GB2312"/>
                <w:bCs/>
                <w:color w:val="000000"/>
                <w:sz w:val="24"/>
                <w:szCs w:val="24"/>
              </w:rPr>
            </w:pPr>
            <w:r>
              <w:rPr>
                <w:rFonts w:ascii="Times New Roman" w:hAnsi="Times New Roman" w:eastAsia="仿宋_GB2312"/>
                <w:bCs/>
                <w:color w:val="000000"/>
                <w:sz w:val="24"/>
                <w:szCs w:val="24"/>
              </w:rPr>
              <w:t>下一级环境保护行政主管部门审查意见：</w:t>
            </w:r>
          </w:p>
          <w:p>
            <w:pPr>
              <w:spacing w:line="480" w:lineRule="exact"/>
              <w:ind w:left="152"/>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rPr>
                <w:rFonts w:ascii="Times New Roman" w:hAnsi="Times New Roman" w:eastAsia="仿宋_GB2312"/>
                <w:bCs/>
                <w:color w:val="000000"/>
                <w:sz w:val="24"/>
                <w:szCs w:val="24"/>
              </w:rPr>
            </w:pPr>
          </w:p>
          <w:p>
            <w:pPr>
              <w:spacing w:line="480" w:lineRule="exact"/>
              <w:ind w:left="152" w:firstLine="6480"/>
              <w:rPr>
                <w:rFonts w:ascii="Times New Roman" w:hAnsi="Times New Roman" w:eastAsia="仿宋_GB2312"/>
                <w:bCs/>
                <w:color w:val="000000"/>
                <w:sz w:val="24"/>
                <w:szCs w:val="24"/>
              </w:rPr>
            </w:pPr>
          </w:p>
          <w:p>
            <w:pPr>
              <w:spacing w:line="480" w:lineRule="exact"/>
              <w:ind w:left="152" w:firstLine="6480"/>
              <w:rPr>
                <w:rFonts w:ascii="Times New Roman" w:hAnsi="Times New Roman" w:eastAsia="仿宋_GB2312"/>
                <w:bCs/>
                <w:color w:val="000000"/>
                <w:sz w:val="24"/>
                <w:szCs w:val="24"/>
              </w:rPr>
            </w:pPr>
          </w:p>
          <w:p>
            <w:pPr>
              <w:spacing w:line="480" w:lineRule="exact"/>
              <w:ind w:left="152" w:firstLine="6480"/>
              <w:rPr>
                <w:rFonts w:ascii="Times New Roman" w:hAnsi="Times New Roman" w:eastAsia="仿宋_GB2312"/>
                <w:bCs/>
                <w:color w:val="000000"/>
                <w:sz w:val="24"/>
                <w:szCs w:val="24"/>
              </w:rPr>
            </w:pPr>
          </w:p>
          <w:p>
            <w:pPr>
              <w:spacing w:line="480" w:lineRule="exact"/>
              <w:ind w:left="152"/>
              <w:rPr>
                <w:rFonts w:ascii="Times New Roman" w:hAnsi="Times New Roman" w:eastAsia="仿宋_GB2312"/>
                <w:bCs/>
                <w:color w:val="000000"/>
                <w:sz w:val="24"/>
                <w:szCs w:val="24"/>
              </w:rPr>
            </w:pPr>
          </w:p>
          <w:p>
            <w:pPr>
              <w:spacing w:line="480" w:lineRule="exact"/>
              <w:ind w:left="152" w:firstLine="6480"/>
              <w:rPr>
                <w:rFonts w:ascii="Times New Roman" w:hAnsi="Times New Roman" w:eastAsia="仿宋_GB2312"/>
                <w:bCs/>
                <w:color w:val="000000"/>
                <w:sz w:val="24"/>
                <w:szCs w:val="24"/>
              </w:rPr>
            </w:pPr>
          </w:p>
          <w:p>
            <w:pPr>
              <w:spacing w:line="480" w:lineRule="exact"/>
              <w:ind w:left="152" w:firstLine="6480"/>
              <w:rPr>
                <w:rFonts w:ascii="Times New Roman" w:hAnsi="Times New Roman" w:eastAsia="仿宋_GB2312"/>
                <w:bCs/>
                <w:color w:val="000000"/>
                <w:sz w:val="24"/>
                <w:szCs w:val="24"/>
              </w:rPr>
            </w:pPr>
            <w:r>
              <w:rPr>
                <w:rFonts w:ascii="Times New Roman" w:hAnsi="Times New Roman" w:eastAsia="仿宋_GB2312"/>
                <w:bCs/>
                <w:color w:val="000000"/>
                <w:sz w:val="24"/>
                <w:szCs w:val="24"/>
              </w:rPr>
              <w:t>公章</w:t>
            </w:r>
          </w:p>
          <w:p>
            <w:pPr>
              <w:spacing w:line="480" w:lineRule="exact"/>
              <w:ind w:left="152" w:firstLine="6480"/>
              <w:rPr>
                <w:rFonts w:ascii="Times New Roman" w:hAnsi="Times New Roman" w:eastAsia="仿宋_GB2312"/>
                <w:bCs/>
                <w:color w:val="000000"/>
                <w:sz w:val="24"/>
                <w:szCs w:val="24"/>
              </w:rPr>
            </w:pPr>
          </w:p>
          <w:p>
            <w:pPr>
              <w:spacing w:line="480" w:lineRule="exact"/>
              <w:ind w:left="152" w:firstLine="540"/>
              <w:rPr>
                <w:rFonts w:ascii="Times New Roman" w:hAnsi="Times New Roman" w:eastAsia="仿宋_GB2312"/>
                <w:bCs/>
                <w:color w:val="000000"/>
                <w:sz w:val="24"/>
                <w:szCs w:val="24"/>
              </w:rPr>
            </w:pPr>
          </w:p>
          <w:p>
            <w:pPr>
              <w:spacing w:line="480" w:lineRule="exact"/>
              <w:ind w:left="152" w:firstLine="540"/>
              <w:rPr>
                <w:rFonts w:ascii="Times New Roman" w:hAnsi="Times New Roman" w:eastAsia="仿宋_GB2312"/>
                <w:bCs/>
                <w:color w:val="000000"/>
                <w:sz w:val="24"/>
                <w:szCs w:val="24"/>
              </w:rPr>
            </w:pPr>
            <w:r>
              <w:rPr>
                <w:rFonts w:ascii="Times New Roman" w:hAnsi="Times New Roman" w:eastAsia="仿宋_GB2312"/>
                <w:bCs/>
                <w:color w:val="000000"/>
                <w:sz w:val="24"/>
                <w:szCs w:val="24"/>
              </w:rPr>
              <w:t xml:space="preserve">经办人：     年    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9" w:type="dxa"/>
          </w:tcPr>
          <w:p>
            <w:pPr>
              <w:spacing w:line="480" w:lineRule="exact"/>
              <w:rPr>
                <w:rFonts w:ascii="Times New Roman" w:hAnsi="Times New Roman" w:eastAsia="仿宋_GB2312"/>
                <w:bCs/>
                <w:color w:val="000000"/>
                <w:sz w:val="24"/>
                <w:szCs w:val="24"/>
              </w:rPr>
            </w:pPr>
            <w:r>
              <w:rPr>
                <w:rFonts w:ascii="Times New Roman" w:hAnsi="Times New Roman" w:eastAsia="仿宋_GB2312"/>
                <w:bCs/>
                <w:color w:val="000000"/>
                <w:sz w:val="24"/>
                <w:szCs w:val="24"/>
              </w:rPr>
              <w:t>审批意见：</w:t>
            </w: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p>
          <w:p>
            <w:pPr>
              <w:spacing w:line="480" w:lineRule="exact"/>
              <w:ind w:left="152" w:firstLine="6480"/>
              <w:rPr>
                <w:rFonts w:ascii="Times New Roman" w:hAnsi="Times New Roman" w:eastAsia="仿宋_GB2312"/>
                <w:color w:val="000000"/>
                <w:sz w:val="24"/>
                <w:szCs w:val="24"/>
              </w:rPr>
            </w:pPr>
            <w:r>
              <w:rPr>
                <w:rFonts w:ascii="Times New Roman" w:hAnsi="Times New Roman" w:eastAsia="仿宋_GB2312"/>
                <w:color w:val="000000"/>
                <w:sz w:val="24"/>
                <w:szCs w:val="24"/>
              </w:rPr>
              <w:t>公章</w:t>
            </w:r>
          </w:p>
          <w:p>
            <w:pPr>
              <w:spacing w:line="480" w:lineRule="exact"/>
              <w:ind w:left="152" w:firstLine="6480"/>
              <w:rPr>
                <w:rFonts w:ascii="Times New Roman" w:hAnsi="Times New Roman" w:eastAsia="仿宋_GB2312"/>
                <w:color w:val="000000"/>
                <w:sz w:val="24"/>
                <w:szCs w:val="24"/>
              </w:rPr>
            </w:pPr>
          </w:p>
          <w:p>
            <w:pPr>
              <w:spacing w:line="480" w:lineRule="exact"/>
              <w:ind w:left="152"/>
              <w:rPr>
                <w:rFonts w:ascii="Times New Roman" w:hAnsi="Times New Roman" w:eastAsia="仿宋_GB2312"/>
                <w:color w:val="000000"/>
                <w:sz w:val="24"/>
                <w:szCs w:val="24"/>
              </w:rPr>
            </w:pPr>
          </w:p>
          <w:p>
            <w:pPr>
              <w:spacing w:line="480" w:lineRule="exact"/>
              <w:rPr>
                <w:rFonts w:ascii="Times New Roman" w:hAnsi="Times New Roman" w:eastAsia="仿宋_GB2312"/>
                <w:color w:val="000000"/>
                <w:sz w:val="24"/>
                <w:szCs w:val="24"/>
              </w:rPr>
            </w:pPr>
            <w:r>
              <w:rPr>
                <w:rFonts w:ascii="Times New Roman" w:hAnsi="Times New Roman" w:eastAsia="仿宋_GB2312"/>
                <w:color w:val="000000"/>
                <w:sz w:val="24"/>
                <w:szCs w:val="24"/>
              </w:rPr>
              <w:t>经办人：     年    月     日</w:t>
            </w:r>
          </w:p>
          <w:p>
            <w:pPr>
              <w:spacing w:line="480" w:lineRule="exact"/>
              <w:rPr>
                <w:rFonts w:ascii="Times New Roman" w:hAnsi="Times New Roman" w:eastAsia="仿宋_GB2312"/>
                <w:color w:val="000000"/>
                <w:sz w:val="24"/>
                <w:szCs w:val="24"/>
              </w:rPr>
            </w:pPr>
          </w:p>
        </w:tc>
      </w:tr>
    </w:tbl>
    <w:p>
      <w:pPr>
        <w:spacing w:line="480" w:lineRule="exact"/>
        <w:rPr>
          <w:rFonts w:ascii="Times New Roman" w:hAnsi="Times New Roman" w:eastAsia="仿宋_GB2312"/>
          <w:color w:val="000000"/>
          <w:sz w:val="24"/>
          <w:szCs w:val="24"/>
        </w:rPr>
      </w:pPr>
    </w:p>
    <w:sectPr>
      <w:pgSz w:w="11907" w:h="16840"/>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89</w:t>
    </w:r>
    <w:r>
      <w:rPr>
        <w:rFonts w:ascii="Times New Roman" w:hAnsi="Times New Roma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85</w:t>
    </w:r>
    <w:r>
      <w:rPr>
        <w:rFonts w:ascii="Times New Roman" w:hAnsi="Times New Roman"/>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ACE2E"/>
    <w:multiLevelType w:val="multilevel"/>
    <w:tmpl w:val="582ACE2E"/>
    <w:lvl w:ilvl="0" w:tentative="0">
      <w:start w:val="1"/>
      <w:numFmt w:val="bullet"/>
      <w:lvlText w:val=""/>
      <w:lvlJc w:val="left"/>
      <w:pPr>
        <w:tabs>
          <w:tab w:val="left" w:pos="480"/>
        </w:tabs>
        <w:ind w:left="480" w:firstLine="0"/>
      </w:pPr>
      <w:rPr>
        <w:rFonts w:hint="default" w:ascii="Wingdings" w:hAnsi="Wingdings"/>
      </w:rPr>
    </w:lvl>
    <w:lvl w:ilvl="1" w:tentative="0">
      <w:start w:val="1"/>
      <w:numFmt w:val="bullet"/>
      <w:pStyle w:val="4"/>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57C6"/>
    <w:rsid w:val="000062CA"/>
    <w:rsid w:val="0000665C"/>
    <w:rsid w:val="00007A4E"/>
    <w:rsid w:val="000104A9"/>
    <w:rsid w:val="000104B5"/>
    <w:rsid w:val="0001152E"/>
    <w:rsid w:val="00011BB2"/>
    <w:rsid w:val="00012CB9"/>
    <w:rsid w:val="0001488C"/>
    <w:rsid w:val="00020035"/>
    <w:rsid w:val="00020DDC"/>
    <w:rsid w:val="00021078"/>
    <w:rsid w:val="00021C38"/>
    <w:rsid w:val="00021F48"/>
    <w:rsid w:val="000252B6"/>
    <w:rsid w:val="000259DF"/>
    <w:rsid w:val="000273E0"/>
    <w:rsid w:val="000306A1"/>
    <w:rsid w:val="0003717C"/>
    <w:rsid w:val="000379BE"/>
    <w:rsid w:val="0004061C"/>
    <w:rsid w:val="000410A5"/>
    <w:rsid w:val="000417B5"/>
    <w:rsid w:val="00045263"/>
    <w:rsid w:val="00045C29"/>
    <w:rsid w:val="000500A1"/>
    <w:rsid w:val="000502B1"/>
    <w:rsid w:val="000533EC"/>
    <w:rsid w:val="00054A99"/>
    <w:rsid w:val="00055DE2"/>
    <w:rsid w:val="0005649F"/>
    <w:rsid w:val="000579FA"/>
    <w:rsid w:val="000605A1"/>
    <w:rsid w:val="00062C86"/>
    <w:rsid w:val="00065C59"/>
    <w:rsid w:val="000678C3"/>
    <w:rsid w:val="00073831"/>
    <w:rsid w:val="00075B9F"/>
    <w:rsid w:val="00076D88"/>
    <w:rsid w:val="00077A3F"/>
    <w:rsid w:val="00080511"/>
    <w:rsid w:val="00080E91"/>
    <w:rsid w:val="00082297"/>
    <w:rsid w:val="000841C2"/>
    <w:rsid w:val="0008684A"/>
    <w:rsid w:val="00087F50"/>
    <w:rsid w:val="00090EE0"/>
    <w:rsid w:val="0009334C"/>
    <w:rsid w:val="00096A9B"/>
    <w:rsid w:val="00096B45"/>
    <w:rsid w:val="000A149D"/>
    <w:rsid w:val="000A1997"/>
    <w:rsid w:val="000A2B49"/>
    <w:rsid w:val="000A2B67"/>
    <w:rsid w:val="000A3971"/>
    <w:rsid w:val="000B0739"/>
    <w:rsid w:val="000B07FA"/>
    <w:rsid w:val="000B0809"/>
    <w:rsid w:val="000B17AF"/>
    <w:rsid w:val="000B4D9A"/>
    <w:rsid w:val="000B4FE0"/>
    <w:rsid w:val="000B5FA6"/>
    <w:rsid w:val="000C303F"/>
    <w:rsid w:val="000C3093"/>
    <w:rsid w:val="000D0448"/>
    <w:rsid w:val="000D0DF4"/>
    <w:rsid w:val="000D49CC"/>
    <w:rsid w:val="000D4C10"/>
    <w:rsid w:val="000D57C0"/>
    <w:rsid w:val="000D5B15"/>
    <w:rsid w:val="000D5D7C"/>
    <w:rsid w:val="000D615C"/>
    <w:rsid w:val="000D641C"/>
    <w:rsid w:val="000D7D77"/>
    <w:rsid w:val="000E2721"/>
    <w:rsid w:val="000E387D"/>
    <w:rsid w:val="000E3D33"/>
    <w:rsid w:val="000E3DA5"/>
    <w:rsid w:val="000E3E34"/>
    <w:rsid w:val="000E42EB"/>
    <w:rsid w:val="000E4C38"/>
    <w:rsid w:val="000E74AA"/>
    <w:rsid w:val="000F38F3"/>
    <w:rsid w:val="000F595F"/>
    <w:rsid w:val="000F5D97"/>
    <w:rsid w:val="00100F5F"/>
    <w:rsid w:val="00102E44"/>
    <w:rsid w:val="001034AA"/>
    <w:rsid w:val="00105103"/>
    <w:rsid w:val="001053B5"/>
    <w:rsid w:val="0010629C"/>
    <w:rsid w:val="001063AD"/>
    <w:rsid w:val="00107B01"/>
    <w:rsid w:val="00110152"/>
    <w:rsid w:val="001146C6"/>
    <w:rsid w:val="001166A6"/>
    <w:rsid w:val="00121649"/>
    <w:rsid w:val="00121A21"/>
    <w:rsid w:val="001234AF"/>
    <w:rsid w:val="00123ACB"/>
    <w:rsid w:val="00124BC9"/>
    <w:rsid w:val="00125FD5"/>
    <w:rsid w:val="001302E7"/>
    <w:rsid w:val="00130483"/>
    <w:rsid w:val="00130E8C"/>
    <w:rsid w:val="00130FE0"/>
    <w:rsid w:val="001321AB"/>
    <w:rsid w:val="00132B4F"/>
    <w:rsid w:val="001364AD"/>
    <w:rsid w:val="00140D94"/>
    <w:rsid w:val="001416DC"/>
    <w:rsid w:val="00150F39"/>
    <w:rsid w:val="00151C4B"/>
    <w:rsid w:val="00152C92"/>
    <w:rsid w:val="00153BA5"/>
    <w:rsid w:val="00157B24"/>
    <w:rsid w:val="001601E9"/>
    <w:rsid w:val="001608C3"/>
    <w:rsid w:val="00161203"/>
    <w:rsid w:val="00161399"/>
    <w:rsid w:val="0016352B"/>
    <w:rsid w:val="001636F2"/>
    <w:rsid w:val="001637CF"/>
    <w:rsid w:val="00163DF5"/>
    <w:rsid w:val="00164E6B"/>
    <w:rsid w:val="001678D0"/>
    <w:rsid w:val="00172A27"/>
    <w:rsid w:val="00174175"/>
    <w:rsid w:val="00174D48"/>
    <w:rsid w:val="0018166D"/>
    <w:rsid w:val="001822D8"/>
    <w:rsid w:val="001825B1"/>
    <w:rsid w:val="00184107"/>
    <w:rsid w:val="00184B6C"/>
    <w:rsid w:val="00186055"/>
    <w:rsid w:val="00187B30"/>
    <w:rsid w:val="00187D2A"/>
    <w:rsid w:val="00191DD0"/>
    <w:rsid w:val="00192B04"/>
    <w:rsid w:val="00193B38"/>
    <w:rsid w:val="00194967"/>
    <w:rsid w:val="0019530B"/>
    <w:rsid w:val="0019656E"/>
    <w:rsid w:val="00196D57"/>
    <w:rsid w:val="00196F89"/>
    <w:rsid w:val="001A2419"/>
    <w:rsid w:val="001A24DA"/>
    <w:rsid w:val="001A2EED"/>
    <w:rsid w:val="001A49F7"/>
    <w:rsid w:val="001A5D55"/>
    <w:rsid w:val="001B0E79"/>
    <w:rsid w:val="001B270A"/>
    <w:rsid w:val="001B36F4"/>
    <w:rsid w:val="001B4D68"/>
    <w:rsid w:val="001C0DFB"/>
    <w:rsid w:val="001C3374"/>
    <w:rsid w:val="001C4163"/>
    <w:rsid w:val="001C59E4"/>
    <w:rsid w:val="001D025D"/>
    <w:rsid w:val="001D0A61"/>
    <w:rsid w:val="001D24FB"/>
    <w:rsid w:val="001D3E3D"/>
    <w:rsid w:val="001D6219"/>
    <w:rsid w:val="001E0439"/>
    <w:rsid w:val="001E07F9"/>
    <w:rsid w:val="001E1759"/>
    <w:rsid w:val="001E194D"/>
    <w:rsid w:val="001E3D3C"/>
    <w:rsid w:val="001E3DD0"/>
    <w:rsid w:val="001E57CE"/>
    <w:rsid w:val="001F0204"/>
    <w:rsid w:val="001F0AA3"/>
    <w:rsid w:val="001F136B"/>
    <w:rsid w:val="001F2403"/>
    <w:rsid w:val="001F3A2C"/>
    <w:rsid w:val="001F4804"/>
    <w:rsid w:val="001F4A39"/>
    <w:rsid w:val="001F5733"/>
    <w:rsid w:val="001F7318"/>
    <w:rsid w:val="00201FB5"/>
    <w:rsid w:val="00204E76"/>
    <w:rsid w:val="002052EA"/>
    <w:rsid w:val="0020574B"/>
    <w:rsid w:val="002058B0"/>
    <w:rsid w:val="002064FD"/>
    <w:rsid w:val="0021010E"/>
    <w:rsid w:val="002102BA"/>
    <w:rsid w:val="0022016D"/>
    <w:rsid w:val="002205F8"/>
    <w:rsid w:val="002262A9"/>
    <w:rsid w:val="00227B32"/>
    <w:rsid w:val="002319C2"/>
    <w:rsid w:val="002322E6"/>
    <w:rsid w:val="002327BD"/>
    <w:rsid w:val="00232CD5"/>
    <w:rsid w:val="00233F09"/>
    <w:rsid w:val="00237865"/>
    <w:rsid w:val="00242817"/>
    <w:rsid w:val="00243799"/>
    <w:rsid w:val="00244254"/>
    <w:rsid w:val="00247BB7"/>
    <w:rsid w:val="00251BEF"/>
    <w:rsid w:val="002522A9"/>
    <w:rsid w:val="00253867"/>
    <w:rsid w:val="00253CF1"/>
    <w:rsid w:val="00255402"/>
    <w:rsid w:val="002559CC"/>
    <w:rsid w:val="0025706C"/>
    <w:rsid w:val="00257C35"/>
    <w:rsid w:val="00260DD5"/>
    <w:rsid w:val="002611CD"/>
    <w:rsid w:val="00261AC0"/>
    <w:rsid w:val="0026371A"/>
    <w:rsid w:val="00264CAC"/>
    <w:rsid w:val="00271E43"/>
    <w:rsid w:val="00273A15"/>
    <w:rsid w:val="00274CC4"/>
    <w:rsid w:val="00276098"/>
    <w:rsid w:val="0027685C"/>
    <w:rsid w:val="00276A0F"/>
    <w:rsid w:val="00276B88"/>
    <w:rsid w:val="00277CF8"/>
    <w:rsid w:val="00280F68"/>
    <w:rsid w:val="0028134F"/>
    <w:rsid w:val="00282F90"/>
    <w:rsid w:val="00283375"/>
    <w:rsid w:val="00285579"/>
    <w:rsid w:val="002859FC"/>
    <w:rsid w:val="00285F7C"/>
    <w:rsid w:val="0028629B"/>
    <w:rsid w:val="00287A7F"/>
    <w:rsid w:val="00292668"/>
    <w:rsid w:val="002954A8"/>
    <w:rsid w:val="00295FD2"/>
    <w:rsid w:val="002A00FD"/>
    <w:rsid w:val="002A116C"/>
    <w:rsid w:val="002A118B"/>
    <w:rsid w:val="002A5CA2"/>
    <w:rsid w:val="002A641D"/>
    <w:rsid w:val="002A65A5"/>
    <w:rsid w:val="002A6831"/>
    <w:rsid w:val="002A7D8B"/>
    <w:rsid w:val="002B075D"/>
    <w:rsid w:val="002B4CBA"/>
    <w:rsid w:val="002B662E"/>
    <w:rsid w:val="002B670F"/>
    <w:rsid w:val="002C0E5E"/>
    <w:rsid w:val="002C329D"/>
    <w:rsid w:val="002C7D11"/>
    <w:rsid w:val="002D22D8"/>
    <w:rsid w:val="002D36F0"/>
    <w:rsid w:val="002D72CE"/>
    <w:rsid w:val="002E0D34"/>
    <w:rsid w:val="002E0F5B"/>
    <w:rsid w:val="002E1E21"/>
    <w:rsid w:val="002E2395"/>
    <w:rsid w:val="002E30B9"/>
    <w:rsid w:val="002E5A80"/>
    <w:rsid w:val="002E7A9B"/>
    <w:rsid w:val="002F002C"/>
    <w:rsid w:val="002F08AA"/>
    <w:rsid w:val="002F2DB6"/>
    <w:rsid w:val="002F2E8A"/>
    <w:rsid w:val="002F45FA"/>
    <w:rsid w:val="002F6A77"/>
    <w:rsid w:val="002F76BA"/>
    <w:rsid w:val="00302085"/>
    <w:rsid w:val="00302294"/>
    <w:rsid w:val="00303450"/>
    <w:rsid w:val="00303A34"/>
    <w:rsid w:val="003040AD"/>
    <w:rsid w:val="003051E0"/>
    <w:rsid w:val="00307473"/>
    <w:rsid w:val="00310679"/>
    <w:rsid w:val="003107A3"/>
    <w:rsid w:val="0031098E"/>
    <w:rsid w:val="00313058"/>
    <w:rsid w:val="003149D3"/>
    <w:rsid w:val="00322C82"/>
    <w:rsid w:val="0032310D"/>
    <w:rsid w:val="00323302"/>
    <w:rsid w:val="00323AD3"/>
    <w:rsid w:val="00324B5F"/>
    <w:rsid w:val="00326EDD"/>
    <w:rsid w:val="00330998"/>
    <w:rsid w:val="00331513"/>
    <w:rsid w:val="0033468A"/>
    <w:rsid w:val="00334A33"/>
    <w:rsid w:val="0033520A"/>
    <w:rsid w:val="0033576B"/>
    <w:rsid w:val="003362D0"/>
    <w:rsid w:val="0034113C"/>
    <w:rsid w:val="00344611"/>
    <w:rsid w:val="0034505E"/>
    <w:rsid w:val="00345D02"/>
    <w:rsid w:val="003469D2"/>
    <w:rsid w:val="003518A4"/>
    <w:rsid w:val="00356B9F"/>
    <w:rsid w:val="00360FC9"/>
    <w:rsid w:val="00362BD7"/>
    <w:rsid w:val="00366272"/>
    <w:rsid w:val="003803D4"/>
    <w:rsid w:val="00380CB6"/>
    <w:rsid w:val="00380DCB"/>
    <w:rsid w:val="00380EBB"/>
    <w:rsid w:val="00385E17"/>
    <w:rsid w:val="00386101"/>
    <w:rsid w:val="0039088C"/>
    <w:rsid w:val="00396048"/>
    <w:rsid w:val="00396088"/>
    <w:rsid w:val="003960A5"/>
    <w:rsid w:val="003967A7"/>
    <w:rsid w:val="003979D3"/>
    <w:rsid w:val="003A10D7"/>
    <w:rsid w:val="003A1CAA"/>
    <w:rsid w:val="003A3AE7"/>
    <w:rsid w:val="003A3BB8"/>
    <w:rsid w:val="003A3F3B"/>
    <w:rsid w:val="003A59CA"/>
    <w:rsid w:val="003A715A"/>
    <w:rsid w:val="003B0B09"/>
    <w:rsid w:val="003B0C22"/>
    <w:rsid w:val="003B25AB"/>
    <w:rsid w:val="003B4178"/>
    <w:rsid w:val="003B7329"/>
    <w:rsid w:val="003C20C5"/>
    <w:rsid w:val="003C20EE"/>
    <w:rsid w:val="003C2204"/>
    <w:rsid w:val="003C33DD"/>
    <w:rsid w:val="003C3BE3"/>
    <w:rsid w:val="003C40D6"/>
    <w:rsid w:val="003C5459"/>
    <w:rsid w:val="003C6CAD"/>
    <w:rsid w:val="003D1C64"/>
    <w:rsid w:val="003D3166"/>
    <w:rsid w:val="003D319B"/>
    <w:rsid w:val="003D39A2"/>
    <w:rsid w:val="003D418B"/>
    <w:rsid w:val="003D4553"/>
    <w:rsid w:val="003E0D1D"/>
    <w:rsid w:val="003E214B"/>
    <w:rsid w:val="003E3CCA"/>
    <w:rsid w:val="003E3E48"/>
    <w:rsid w:val="003E6EC7"/>
    <w:rsid w:val="003E7F42"/>
    <w:rsid w:val="003F18E2"/>
    <w:rsid w:val="003F3477"/>
    <w:rsid w:val="003F4A18"/>
    <w:rsid w:val="003F532B"/>
    <w:rsid w:val="003F6BB6"/>
    <w:rsid w:val="00401080"/>
    <w:rsid w:val="00403F13"/>
    <w:rsid w:val="00404816"/>
    <w:rsid w:val="0040585C"/>
    <w:rsid w:val="00407276"/>
    <w:rsid w:val="00407E93"/>
    <w:rsid w:val="00412A5A"/>
    <w:rsid w:val="00412E3B"/>
    <w:rsid w:val="00415CF1"/>
    <w:rsid w:val="004175F6"/>
    <w:rsid w:val="004214A5"/>
    <w:rsid w:val="00423131"/>
    <w:rsid w:val="004236DE"/>
    <w:rsid w:val="00423A91"/>
    <w:rsid w:val="00424BDD"/>
    <w:rsid w:val="004252E1"/>
    <w:rsid w:val="00427634"/>
    <w:rsid w:val="00427DBC"/>
    <w:rsid w:val="004337DA"/>
    <w:rsid w:val="00434937"/>
    <w:rsid w:val="00435568"/>
    <w:rsid w:val="00435C27"/>
    <w:rsid w:val="004377EA"/>
    <w:rsid w:val="00437B06"/>
    <w:rsid w:val="00437B8F"/>
    <w:rsid w:val="00441F43"/>
    <w:rsid w:val="00442726"/>
    <w:rsid w:val="00442F15"/>
    <w:rsid w:val="00443410"/>
    <w:rsid w:val="00443638"/>
    <w:rsid w:val="00443CF0"/>
    <w:rsid w:val="0044489A"/>
    <w:rsid w:val="00444B8E"/>
    <w:rsid w:val="004454A2"/>
    <w:rsid w:val="00447C0D"/>
    <w:rsid w:val="00451DC7"/>
    <w:rsid w:val="0045238F"/>
    <w:rsid w:val="00452763"/>
    <w:rsid w:val="004546FE"/>
    <w:rsid w:val="0045527A"/>
    <w:rsid w:val="004555B1"/>
    <w:rsid w:val="004556B3"/>
    <w:rsid w:val="00460618"/>
    <w:rsid w:val="004614F2"/>
    <w:rsid w:val="00461901"/>
    <w:rsid w:val="00463D76"/>
    <w:rsid w:val="00464848"/>
    <w:rsid w:val="00465400"/>
    <w:rsid w:val="00465880"/>
    <w:rsid w:val="00466571"/>
    <w:rsid w:val="0046663D"/>
    <w:rsid w:val="004669E1"/>
    <w:rsid w:val="004676A4"/>
    <w:rsid w:val="004706BB"/>
    <w:rsid w:val="004741BF"/>
    <w:rsid w:val="0047517F"/>
    <w:rsid w:val="004751E4"/>
    <w:rsid w:val="00476F8D"/>
    <w:rsid w:val="00481162"/>
    <w:rsid w:val="00481710"/>
    <w:rsid w:val="0048177F"/>
    <w:rsid w:val="00481DA7"/>
    <w:rsid w:val="00482933"/>
    <w:rsid w:val="004840B3"/>
    <w:rsid w:val="00484B94"/>
    <w:rsid w:val="004851D0"/>
    <w:rsid w:val="00486B3C"/>
    <w:rsid w:val="00487AB6"/>
    <w:rsid w:val="00487C9C"/>
    <w:rsid w:val="00487F35"/>
    <w:rsid w:val="00491E5A"/>
    <w:rsid w:val="00494265"/>
    <w:rsid w:val="00494E75"/>
    <w:rsid w:val="00496059"/>
    <w:rsid w:val="00496556"/>
    <w:rsid w:val="00497665"/>
    <w:rsid w:val="004A3ACB"/>
    <w:rsid w:val="004A4AD8"/>
    <w:rsid w:val="004A5394"/>
    <w:rsid w:val="004A54B7"/>
    <w:rsid w:val="004A550E"/>
    <w:rsid w:val="004B0200"/>
    <w:rsid w:val="004B0AEE"/>
    <w:rsid w:val="004B0F58"/>
    <w:rsid w:val="004B2309"/>
    <w:rsid w:val="004B2E56"/>
    <w:rsid w:val="004B3253"/>
    <w:rsid w:val="004B39E6"/>
    <w:rsid w:val="004B3A38"/>
    <w:rsid w:val="004B70FA"/>
    <w:rsid w:val="004C21FE"/>
    <w:rsid w:val="004C2C39"/>
    <w:rsid w:val="004C455A"/>
    <w:rsid w:val="004C5C35"/>
    <w:rsid w:val="004C6945"/>
    <w:rsid w:val="004D0F0E"/>
    <w:rsid w:val="004D14CA"/>
    <w:rsid w:val="004D173B"/>
    <w:rsid w:val="004D1E86"/>
    <w:rsid w:val="004D31A5"/>
    <w:rsid w:val="004D5BE3"/>
    <w:rsid w:val="004D6793"/>
    <w:rsid w:val="004E173E"/>
    <w:rsid w:val="004E1A1E"/>
    <w:rsid w:val="004E24DB"/>
    <w:rsid w:val="004E2C5D"/>
    <w:rsid w:val="004F27FA"/>
    <w:rsid w:val="004F452D"/>
    <w:rsid w:val="004F491D"/>
    <w:rsid w:val="004F578D"/>
    <w:rsid w:val="004F58E8"/>
    <w:rsid w:val="004F5B2F"/>
    <w:rsid w:val="00500B6B"/>
    <w:rsid w:val="0050100A"/>
    <w:rsid w:val="005015AC"/>
    <w:rsid w:val="00506660"/>
    <w:rsid w:val="00512BC8"/>
    <w:rsid w:val="00514AC3"/>
    <w:rsid w:val="00514E6B"/>
    <w:rsid w:val="00516F6C"/>
    <w:rsid w:val="0051793B"/>
    <w:rsid w:val="005231AA"/>
    <w:rsid w:val="00523FC1"/>
    <w:rsid w:val="00530322"/>
    <w:rsid w:val="005308EA"/>
    <w:rsid w:val="00530D21"/>
    <w:rsid w:val="00534B9C"/>
    <w:rsid w:val="00534EB4"/>
    <w:rsid w:val="00536087"/>
    <w:rsid w:val="0053622B"/>
    <w:rsid w:val="005368E3"/>
    <w:rsid w:val="005372E1"/>
    <w:rsid w:val="0053796A"/>
    <w:rsid w:val="00542685"/>
    <w:rsid w:val="00543798"/>
    <w:rsid w:val="005437EA"/>
    <w:rsid w:val="005446E1"/>
    <w:rsid w:val="005462DF"/>
    <w:rsid w:val="005474B0"/>
    <w:rsid w:val="00551216"/>
    <w:rsid w:val="00553373"/>
    <w:rsid w:val="005543C1"/>
    <w:rsid w:val="00554893"/>
    <w:rsid w:val="005562A8"/>
    <w:rsid w:val="00561041"/>
    <w:rsid w:val="00562225"/>
    <w:rsid w:val="0056362C"/>
    <w:rsid w:val="0057137D"/>
    <w:rsid w:val="00572183"/>
    <w:rsid w:val="005754A7"/>
    <w:rsid w:val="00576593"/>
    <w:rsid w:val="00577A30"/>
    <w:rsid w:val="00580EA4"/>
    <w:rsid w:val="0058150E"/>
    <w:rsid w:val="005848AA"/>
    <w:rsid w:val="005849A2"/>
    <w:rsid w:val="0058633E"/>
    <w:rsid w:val="0058762C"/>
    <w:rsid w:val="00587ABA"/>
    <w:rsid w:val="00591D2B"/>
    <w:rsid w:val="00592390"/>
    <w:rsid w:val="0059462E"/>
    <w:rsid w:val="00594B39"/>
    <w:rsid w:val="005958F4"/>
    <w:rsid w:val="005963E0"/>
    <w:rsid w:val="005A570E"/>
    <w:rsid w:val="005B0429"/>
    <w:rsid w:val="005B0E32"/>
    <w:rsid w:val="005B1162"/>
    <w:rsid w:val="005B188B"/>
    <w:rsid w:val="005B1FE5"/>
    <w:rsid w:val="005B31E6"/>
    <w:rsid w:val="005B6FF6"/>
    <w:rsid w:val="005C1CAD"/>
    <w:rsid w:val="005C3FCC"/>
    <w:rsid w:val="005C48CB"/>
    <w:rsid w:val="005C58C2"/>
    <w:rsid w:val="005C6F60"/>
    <w:rsid w:val="005C786F"/>
    <w:rsid w:val="005D0D34"/>
    <w:rsid w:val="005D4B07"/>
    <w:rsid w:val="005D7529"/>
    <w:rsid w:val="005D7A51"/>
    <w:rsid w:val="005D7E24"/>
    <w:rsid w:val="005D7E6D"/>
    <w:rsid w:val="005E450D"/>
    <w:rsid w:val="005E4BCE"/>
    <w:rsid w:val="005E5A67"/>
    <w:rsid w:val="005E727D"/>
    <w:rsid w:val="005E735E"/>
    <w:rsid w:val="005F0561"/>
    <w:rsid w:val="005F0901"/>
    <w:rsid w:val="005F174C"/>
    <w:rsid w:val="005F2357"/>
    <w:rsid w:val="005F2F2B"/>
    <w:rsid w:val="005F5B63"/>
    <w:rsid w:val="005F7592"/>
    <w:rsid w:val="00600D94"/>
    <w:rsid w:val="00602A7F"/>
    <w:rsid w:val="00603EC2"/>
    <w:rsid w:val="00604175"/>
    <w:rsid w:val="00604549"/>
    <w:rsid w:val="00610C20"/>
    <w:rsid w:val="00610D62"/>
    <w:rsid w:val="0061104B"/>
    <w:rsid w:val="006141C3"/>
    <w:rsid w:val="00614971"/>
    <w:rsid w:val="0061685C"/>
    <w:rsid w:val="006240FE"/>
    <w:rsid w:val="006244F1"/>
    <w:rsid w:val="00625084"/>
    <w:rsid w:val="00630AA0"/>
    <w:rsid w:val="00632E25"/>
    <w:rsid w:val="00632E7F"/>
    <w:rsid w:val="00633108"/>
    <w:rsid w:val="00633372"/>
    <w:rsid w:val="00633A06"/>
    <w:rsid w:val="00634956"/>
    <w:rsid w:val="00634A42"/>
    <w:rsid w:val="0063510E"/>
    <w:rsid w:val="006362E0"/>
    <w:rsid w:val="006362FE"/>
    <w:rsid w:val="00636879"/>
    <w:rsid w:val="00636F03"/>
    <w:rsid w:val="00637737"/>
    <w:rsid w:val="0064062B"/>
    <w:rsid w:val="00643406"/>
    <w:rsid w:val="006447AD"/>
    <w:rsid w:val="00646B03"/>
    <w:rsid w:val="00646B37"/>
    <w:rsid w:val="00647189"/>
    <w:rsid w:val="00651233"/>
    <w:rsid w:val="0065139C"/>
    <w:rsid w:val="00651D26"/>
    <w:rsid w:val="00652140"/>
    <w:rsid w:val="006526B9"/>
    <w:rsid w:val="00655FE5"/>
    <w:rsid w:val="00662E98"/>
    <w:rsid w:val="006637A2"/>
    <w:rsid w:val="00664A85"/>
    <w:rsid w:val="006653CE"/>
    <w:rsid w:val="006662A9"/>
    <w:rsid w:val="006713FB"/>
    <w:rsid w:val="00674953"/>
    <w:rsid w:val="006758E2"/>
    <w:rsid w:val="00677A0A"/>
    <w:rsid w:val="00680410"/>
    <w:rsid w:val="00680867"/>
    <w:rsid w:val="00690858"/>
    <w:rsid w:val="00691268"/>
    <w:rsid w:val="00691FD2"/>
    <w:rsid w:val="00694094"/>
    <w:rsid w:val="00696FE4"/>
    <w:rsid w:val="00697609"/>
    <w:rsid w:val="00697738"/>
    <w:rsid w:val="00697FE2"/>
    <w:rsid w:val="006A5FF9"/>
    <w:rsid w:val="006A6253"/>
    <w:rsid w:val="006A6EDC"/>
    <w:rsid w:val="006B16BE"/>
    <w:rsid w:val="006B1D83"/>
    <w:rsid w:val="006B25E8"/>
    <w:rsid w:val="006B30A2"/>
    <w:rsid w:val="006B733E"/>
    <w:rsid w:val="006C0137"/>
    <w:rsid w:val="006C067C"/>
    <w:rsid w:val="006C3FBD"/>
    <w:rsid w:val="006C463A"/>
    <w:rsid w:val="006D087D"/>
    <w:rsid w:val="006D0FBD"/>
    <w:rsid w:val="006D2F38"/>
    <w:rsid w:val="006D3B8C"/>
    <w:rsid w:val="006D45A8"/>
    <w:rsid w:val="006D4DB5"/>
    <w:rsid w:val="006D5646"/>
    <w:rsid w:val="006D63AD"/>
    <w:rsid w:val="006E22B1"/>
    <w:rsid w:val="006E4A85"/>
    <w:rsid w:val="006E5E43"/>
    <w:rsid w:val="006E63E7"/>
    <w:rsid w:val="006E6435"/>
    <w:rsid w:val="006F05B2"/>
    <w:rsid w:val="006F1C29"/>
    <w:rsid w:val="00701DB9"/>
    <w:rsid w:val="0070245E"/>
    <w:rsid w:val="00703926"/>
    <w:rsid w:val="00705C17"/>
    <w:rsid w:val="00712E90"/>
    <w:rsid w:val="00714148"/>
    <w:rsid w:val="00715A34"/>
    <w:rsid w:val="00716EC7"/>
    <w:rsid w:val="00720EE9"/>
    <w:rsid w:val="00720F13"/>
    <w:rsid w:val="00722A4A"/>
    <w:rsid w:val="00722B5A"/>
    <w:rsid w:val="00724AEC"/>
    <w:rsid w:val="007252BB"/>
    <w:rsid w:val="007268D2"/>
    <w:rsid w:val="00726CE4"/>
    <w:rsid w:val="0072743D"/>
    <w:rsid w:val="0072749F"/>
    <w:rsid w:val="00730C3B"/>
    <w:rsid w:val="00731443"/>
    <w:rsid w:val="007337B0"/>
    <w:rsid w:val="007340ED"/>
    <w:rsid w:val="00734D82"/>
    <w:rsid w:val="007350EA"/>
    <w:rsid w:val="0073532B"/>
    <w:rsid w:val="00736374"/>
    <w:rsid w:val="00736950"/>
    <w:rsid w:val="007377FB"/>
    <w:rsid w:val="00737BAF"/>
    <w:rsid w:val="00740CEF"/>
    <w:rsid w:val="007428E1"/>
    <w:rsid w:val="007429A0"/>
    <w:rsid w:val="007431F4"/>
    <w:rsid w:val="00743587"/>
    <w:rsid w:val="0074618F"/>
    <w:rsid w:val="00750380"/>
    <w:rsid w:val="00751A6B"/>
    <w:rsid w:val="00751C3D"/>
    <w:rsid w:val="007529E8"/>
    <w:rsid w:val="00754F35"/>
    <w:rsid w:val="0075539C"/>
    <w:rsid w:val="00755E83"/>
    <w:rsid w:val="00757AED"/>
    <w:rsid w:val="00763F03"/>
    <w:rsid w:val="007652AE"/>
    <w:rsid w:val="00765CE5"/>
    <w:rsid w:val="0076693D"/>
    <w:rsid w:val="0077483C"/>
    <w:rsid w:val="00775296"/>
    <w:rsid w:val="00777541"/>
    <w:rsid w:val="0077794C"/>
    <w:rsid w:val="00780550"/>
    <w:rsid w:val="0078163B"/>
    <w:rsid w:val="007838B9"/>
    <w:rsid w:val="0078397E"/>
    <w:rsid w:val="00783F4D"/>
    <w:rsid w:val="00784162"/>
    <w:rsid w:val="00784B52"/>
    <w:rsid w:val="0079072B"/>
    <w:rsid w:val="007922DA"/>
    <w:rsid w:val="00792537"/>
    <w:rsid w:val="00794496"/>
    <w:rsid w:val="007A1BB0"/>
    <w:rsid w:val="007A4A46"/>
    <w:rsid w:val="007A6196"/>
    <w:rsid w:val="007B0168"/>
    <w:rsid w:val="007B0365"/>
    <w:rsid w:val="007B0F4D"/>
    <w:rsid w:val="007B1C6D"/>
    <w:rsid w:val="007B23BF"/>
    <w:rsid w:val="007B4328"/>
    <w:rsid w:val="007B509D"/>
    <w:rsid w:val="007B585B"/>
    <w:rsid w:val="007B5FB3"/>
    <w:rsid w:val="007C0F04"/>
    <w:rsid w:val="007C1C1A"/>
    <w:rsid w:val="007C38CF"/>
    <w:rsid w:val="007C3FEE"/>
    <w:rsid w:val="007C40D4"/>
    <w:rsid w:val="007C41FB"/>
    <w:rsid w:val="007C480A"/>
    <w:rsid w:val="007C61CD"/>
    <w:rsid w:val="007D3D46"/>
    <w:rsid w:val="007E1A0A"/>
    <w:rsid w:val="007E1ADE"/>
    <w:rsid w:val="007E2023"/>
    <w:rsid w:val="007E20BF"/>
    <w:rsid w:val="007E2A34"/>
    <w:rsid w:val="007E2AB6"/>
    <w:rsid w:val="007E4410"/>
    <w:rsid w:val="007E67A2"/>
    <w:rsid w:val="007F089C"/>
    <w:rsid w:val="007F1865"/>
    <w:rsid w:val="007F4613"/>
    <w:rsid w:val="007F6235"/>
    <w:rsid w:val="00800769"/>
    <w:rsid w:val="008041F7"/>
    <w:rsid w:val="00805629"/>
    <w:rsid w:val="00805700"/>
    <w:rsid w:val="00806AE6"/>
    <w:rsid w:val="00806D6E"/>
    <w:rsid w:val="00811C26"/>
    <w:rsid w:val="0081272A"/>
    <w:rsid w:val="00813536"/>
    <w:rsid w:val="00813DF2"/>
    <w:rsid w:val="008149DD"/>
    <w:rsid w:val="008208E3"/>
    <w:rsid w:val="00821034"/>
    <w:rsid w:val="0082561B"/>
    <w:rsid w:val="00830062"/>
    <w:rsid w:val="00831CC5"/>
    <w:rsid w:val="00833837"/>
    <w:rsid w:val="00835849"/>
    <w:rsid w:val="00835A0B"/>
    <w:rsid w:val="0084158D"/>
    <w:rsid w:val="00851355"/>
    <w:rsid w:val="00851F9B"/>
    <w:rsid w:val="00852851"/>
    <w:rsid w:val="008535EC"/>
    <w:rsid w:val="008544DB"/>
    <w:rsid w:val="00857EB0"/>
    <w:rsid w:val="0086209C"/>
    <w:rsid w:val="008620CE"/>
    <w:rsid w:val="0086274E"/>
    <w:rsid w:val="0086345B"/>
    <w:rsid w:val="00864725"/>
    <w:rsid w:val="008653DF"/>
    <w:rsid w:val="008709C8"/>
    <w:rsid w:val="00871A35"/>
    <w:rsid w:val="00871FDA"/>
    <w:rsid w:val="0087363E"/>
    <w:rsid w:val="008736E8"/>
    <w:rsid w:val="00875F10"/>
    <w:rsid w:val="00876189"/>
    <w:rsid w:val="0087665B"/>
    <w:rsid w:val="00881208"/>
    <w:rsid w:val="008823AE"/>
    <w:rsid w:val="00882B9B"/>
    <w:rsid w:val="0088361B"/>
    <w:rsid w:val="00884DAF"/>
    <w:rsid w:val="0089317E"/>
    <w:rsid w:val="00893CC1"/>
    <w:rsid w:val="00894F3E"/>
    <w:rsid w:val="008A0B17"/>
    <w:rsid w:val="008A356B"/>
    <w:rsid w:val="008A3A07"/>
    <w:rsid w:val="008A3EF7"/>
    <w:rsid w:val="008A5C1D"/>
    <w:rsid w:val="008A6392"/>
    <w:rsid w:val="008A6A88"/>
    <w:rsid w:val="008A7F22"/>
    <w:rsid w:val="008B056C"/>
    <w:rsid w:val="008B369B"/>
    <w:rsid w:val="008B7B90"/>
    <w:rsid w:val="008C0EC6"/>
    <w:rsid w:val="008C3C0C"/>
    <w:rsid w:val="008C7BF3"/>
    <w:rsid w:val="008C7D21"/>
    <w:rsid w:val="008D022D"/>
    <w:rsid w:val="008D0D33"/>
    <w:rsid w:val="008D2961"/>
    <w:rsid w:val="008D2E9D"/>
    <w:rsid w:val="008D4508"/>
    <w:rsid w:val="008E02EE"/>
    <w:rsid w:val="008E0347"/>
    <w:rsid w:val="008E13E7"/>
    <w:rsid w:val="008E1CBC"/>
    <w:rsid w:val="008E2B33"/>
    <w:rsid w:val="008E3141"/>
    <w:rsid w:val="008E3551"/>
    <w:rsid w:val="008E4258"/>
    <w:rsid w:val="008E487D"/>
    <w:rsid w:val="008F13B9"/>
    <w:rsid w:val="008F144F"/>
    <w:rsid w:val="008F67BC"/>
    <w:rsid w:val="008F7D27"/>
    <w:rsid w:val="009001DE"/>
    <w:rsid w:val="0090357B"/>
    <w:rsid w:val="00903C65"/>
    <w:rsid w:val="00904CAE"/>
    <w:rsid w:val="00905C7A"/>
    <w:rsid w:val="009063B2"/>
    <w:rsid w:val="00914D6F"/>
    <w:rsid w:val="00917733"/>
    <w:rsid w:val="00924F82"/>
    <w:rsid w:val="00925C13"/>
    <w:rsid w:val="009303AA"/>
    <w:rsid w:val="0093101A"/>
    <w:rsid w:val="00931598"/>
    <w:rsid w:val="009325FB"/>
    <w:rsid w:val="0093314F"/>
    <w:rsid w:val="00933BDE"/>
    <w:rsid w:val="00934265"/>
    <w:rsid w:val="009352BF"/>
    <w:rsid w:val="00936CD3"/>
    <w:rsid w:val="00936D79"/>
    <w:rsid w:val="00937958"/>
    <w:rsid w:val="00942986"/>
    <w:rsid w:val="009429B0"/>
    <w:rsid w:val="00944308"/>
    <w:rsid w:val="0094437A"/>
    <w:rsid w:val="009476DE"/>
    <w:rsid w:val="009506FF"/>
    <w:rsid w:val="00951006"/>
    <w:rsid w:val="00952798"/>
    <w:rsid w:val="009527C5"/>
    <w:rsid w:val="00954504"/>
    <w:rsid w:val="00955175"/>
    <w:rsid w:val="00956557"/>
    <w:rsid w:val="00960471"/>
    <w:rsid w:val="009605C2"/>
    <w:rsid w:val="00962705"/>
    <w:rsid w:val="009630F3"/>
    <w:rsid w:val="0096493F"/>
    <w:rsid w:val="009653D4"/>
    <w:rsid w:val="0096545E"/>
    <w:rsid w:val="00970652"/>
    <w:rsid w:val="00971C71"/>
    <w:rsid w:val="00971E9C"/>
    <w:rsid w:val="009767F7"/>
    <w:rsid w:val="00976CA7"/>
    <w:rsid w:val="0097709B"/>
    <w:rsid w:val="0097790B"/>
    <w:rsid w:val="00980CCF"/>
    <w:rsid w:val="00987524"/>
    <w:rsid w:val="009924D6"/>
    <w:rsid w:val="009931BD"/>
    <w:rsid w:val="00993CA6"/>
    <w:rsid w:val="00994B2F"/>
    <w:rsid w:val="00994CDF"/>
    <w:rsid w:val="009964C9"/>
    <w:rsid w:val="00996BD3"/>
    <w:rsid w:val="00996F04"/>
    <w:rsid w:val="009974F9"/>
    <w:rsid w:val="00997F8F"/>
    <w:rsid w:val="009A198F"/>
    <w:rsid w:val="009A267C"/>
    <w:rsid w:val="009A3FF6"/>
    <w:rsid w:val="009A5079"/>
    <w:rsid w:val="009A51B3"/>
    <w:rsid w:val="009A5BF9"/>
    <w:rsid w:val="009A5C60"/>
    <w:rsid w:val="009A703A"/>
    <w:rsid w:val="009A7D16"/>
    <w:rsid w:val="009B1F63"/>
    <w:rsid w:val="009B2B47"/>
    <w:rsid w:val="009B346E"/>
    <w:rsid w:val="009B4509"/>
    <w:rsid w:val="009B55CD"/>
    <w:rsid w:val="009B6185"/>
    <w:rsid w:val="009B627D"/>
    <w:rsid w:val="009B7DA2"/>
    <w:rsid w:val="009B7EF1"/>
    <w:rsid w:val="009C0A79"/>
    <w:rsid w:val="009C1FB3"/>
    <w:rsid w:val="009C36D0"/>
    <w:rsid w:val="009C61F1"/>
    <w:rsid w:val="009D2FA3"/>
    <w:rsid w:val="009D3B06"/>
    <w:rsid w:val="009D4716"/>
    <w:rsid w:val="009E0F01"/>
    <w:rsid w:val="009E65A9"/>
    <w:rsid w:val="009E7D82"/>
    <w:rsid w:val="009F2320"/>
    <w:rsid w:val="009F2759"/>
    <w:rsid w:val="009F37F2"/>
    <w:rsid w:val="009F5D77"/>
    <w:rsid w:val="00A025FD"/>
    <w:rsid w:val="00A03094"/>
    <w:rsid w:val="00A04EEA"/>
    <w:rsid w:val="00A0653C"/>
    <w:rsid w:val="00A07A1C"/>
    <w:rsid w:val="00A07A2E"/>
    <w:rsid w:val="00A121F7"/>
    <w:rsid w:val="00A1247A"/>
    <w:rsid w:val="00A128E1"/>
    <w:rsid w:val="00A23493"/>
    <w:rsid w:val="00A24AFD"/>
    <w:rsid w:val="00A25101"/>
    <w:rsid w:val="00A31DA9"/>
    <w:rsid w:val="00A32D20"/>
    <w:rsid w:val="00A32D8C"/>
    <w:rsid w:val="00A333DB"/>
    <w:rsid w:val="00A33D6B"/>
    <w:rsid w:val="00A33FEF"/>
    <w:rsid w:val="00A350F9"/>
    <w:rsid w:val="00A357B8"/>
    <w:rsid w:val="00A406E8"/>
    <w:rsid w:val="00A40FE4"/>
    <w:rsid w:val="00A41B49"/>
    <w:rsid w:val="00A43012"/>
    <w:rsid w:val="00A434C1"/>
    <w:rsid w:val="00A438EE"/>
    <w:rsid w:val="00A4492A"/>
    <w:rsid w:val="00A44E52"/>
    <w:rsid w:val="00A44E91"/>
    <w:rsid w:val="00A46F8A"/>
    <w:rsid w:val="00A46FFC"/>
    <w:rsid w:val="00A47EF9"/>
    <w:rsid w:val="00A53C53"/>
    <w:rsid w:val="00A53D8B"/>
    <w:rsid w:val="00A54561"/>
    <w:rsid w:val="00A55813"/>
    <w:rsid w:val="00A56019"/>
    <w:rsid w:val="00A57F63"/>
    <w:rsid w:val="00A57FE0"/>
    <w:rsid w:val="00A609A2"/>
    <w:rsid w:val="00A6239F"/>
    <w:rsid w:val="00A63339"/>
    <w:rsid w:val="00A66533"/>
    <w:rsid w:val="00A66798"/>
    <w:rsid w:val="00A6796A"/>
    <w:rsid w:val="00A67A97"/>
    <w:rsid w:val="00A70763"/>
    <w:rsid w:val="00A7108D"/>
    <w:rsid w:val="00A71696"/>
    <w:rsid w:val="00A7186F"/>
    <w:rsid w:val="00A71A53"/>
    <w:rsid w:val="00A72A4F"/>
    <w:rsid w:val="00A753DE"/>
    <w:rsid w:val="00A75D56"/>
    <w:rsid w:val="00A76508"/>
    <w:rsid w:val="00A76E7B"/>
    <w:rsid w:val="00A80535"/>
    <w:rsid w:val="00A8134F"/>
    <w:rsid w:val="00A82D72"/>
    <w:rsid w:val="00A83925"/>
    <w:rsid w:val="00A8538F"/>
    <w:rsid w:val="00A8562D"/>
    <w:rsid w:val="00A86C86"/>
    <w:rsid w:val="00A90081"/>
    <w:rsid w:val="00A938D7"/>
    <w:rsid w:val="00A9455B"/>
    <w:rsid w:val="00A94636"/>
    <w:rsid w:val="00A9620C"/>
    <w:rsid w:val="00AA13C4"/>
    <w:rsid w:val="00AA2BC8"/>
    <w:rsid w:val="00AA32A6"/>
    <w:rsid w:val="00AA3B95"/>
    <w:rsid w:val="00AA3E90"/>
    <w:rsid w:val="00AA6606"/>
    <w:rsid w:val="00AA684B"/>
    <w:rsid w:val="00AB151F"/>
    <w:rsid w:val="00AC00F3"/>
    <w:rsid w:val="00AC1110"/>
    <w:rsid w:val="00AC39D4"/>
    <w:rsid w:val="00AC7910"/>
    <w:rsid w:val="00AC7CFB"/>
    <w:rsid w:val="00AD0013"/>
    <w:rsid w:val="00AD1E01"/>
    <w:rsid w:val="00AD25A1"/>
    <w:rsid w:val="00AD3436"/>
    <w:rsid w:val="00AD4488"/>
    <w:rsid w:val="00AD5306"/>
    <w:rsid w:val="00AE2096"/>
    <w:rsid w:val="00AE3B1C"/>
    <w:rsid w:val="00AE3D63"/>
    <w:rsid w:val="00AE3E39"/>
    <w:rsid w:val="00AE7743"/>
    <w:rsid w:val="00AF31A7"/>
    <w:rsid w:val="00AF498C"/>
    <w:rsid w:val="00AF5F66"/>
    <w:rsid w:val="00AF693B"/>
    <w:rsid w:val="00B01B03"/>
    <w:rsid w:val="00B02E6B"/>
    <w:rsid w:val="00B02EF6"/>
    <w:rsid w:val="00B03B3F"/>
    <w:rsid w:val="00B05530"/>
    <w:rsid w:val="00B05B2C"/>
    <w:rsid w:val="00B10FC0"/>
    <w:rsid w:val="00B14966"/>
    <w:rsid w:val="00B158B3"/>
    <w:rsid w:val="00B15E8B"/>
    <w:rsid w:val="00B1664B"/>
    <w:rsid w:val="00B2061A"/>
    <w:rsid w:val="00B20AE0"/>
    <w:rsid w:val="00B20B55"/>
    <w:rsid w:val="00B22091"/>
    <w:rsid w:val="00B2431E"/>
    <w:rsid w:val="00B252F9"/>
    <w:rsid w:val="00B25F35"/>
    <w:rsid w:val="00B30C1C"/>
    <w:rsid w:val="00B32AE5"/>
    <w:rsid w:val="00B374E5"/>
    <w:rsid w:val="00B376CE"/>
    <w:rsid w:val="00B40D32"/>
    <w:rsid w:val="00B43622"/>
    <w:rsid w:val="00B437C7"/>
    <w:rsid w:val="00B43D46"/>
    <w:rsid w:val="00B43DD7"/>
    <w:rsid w:val="00B44685"/>
    <w:rsid w:val="00B45629"/>
    <w:rsid w:val="00B4609D"/>
    <w:rsid w:val="00B46899"/>
    <w:rsid w:val="00B46B9C"/>
    <w:rsid w:val="00B473E3"/>
    <w:rsid w:val="00B47DBA"/>
    <w:rsid w:val="00B50AFA"/>
    <w:rsid w:val="00B50B77"/>
    <w:rsid w:val="00B52040"/>
    <w:rsid w:val="00B5287A"/>
    <w:rsid w:val="00B52F24"/>
    <w:rsid w:val="00B5363C"/>
    <w:rsid w:val="00B539BF"/>
    <w:rsid w:val="00B5413E"/>
    <w:rsid w:val="00B57A6D"/>
    <w:rsid w:val="00B6188B"/>
    <w:rsid w:val="00B61D51"/>
    <w:rsid w:val="00B62BB1"/>
    <w:rsid w:val="00B62E9D"/>
    <w:rsid w:val="00B670EB"/>
    <w:rsid w:val="00B672DE"/>
    <w:rsid w:val="00B67947"/>
    <w:rsid w:val="00B7091B"/>
    <w:rsid w:val="00B71834"/>
    <w:rsid w:val="00B7317A"/>
    <w:rsid w:val="00B74D5D"/>
    <w:rsid w:val="00B81A2A"/>
    <w:rsid w:val="00B82C80"/>
    <w:rsid w:val="00B8460B"/>
    <w:rsid w:val="00B847B7"/>
    <w:rsid w:val="00B85A07"/>
    <w:rsid w:val="00B864DD"/>
    <w:rsid w:val="00B86874"/>
    <w:rsid w:val="00B8720D"/>
    <w:rsid w:val="00B91806"/>
    <w:rsid w:val="00B94253"/>
    <w:rsid w:val="00B946C7"/>
    <w:rsid w:val="00BA07CC"/>
    <w:rsid w:val="00BA20C9"/>
    <w:rsid w:val="00BA4A46"/>
    <w:rsid w:val="00BA4A66"/>
    <w:rsid w:val="00BA6258"/>
    <w:rsid w:val="00BA65F2"/>
    <w:rsid w:val="00BA6E89"/>
    <w:rsid w:val="00BA7F2C"/>
    <w:rsid w:val="00BB0022"/>
    <w:rsid w:val="00BB052E"/>
    <w:rsid w:val="00BB11E0"/>
    <w:rsid w:val="00BB50C9"/>
    <w:rsid w:val="00BB5927"/>
    <w:rsid w:val="00BC0759"/>
    <w:rsid w:val="00BC0BCC"/>
    <w:rsid w:val="00BC1A3D"/>
    <w:rsid w:val="00BC2A60"/>
    <w:rsid w:val="00BC2B70"/>
    <w:rsid w:val="00BC4243"/>
    <w:rsid w:val="00BC73E4"/>
    <w:rsid w:val="00BD0967"/>
    <w:rsid w:val="00BD32E9"/>
    <w:rsid w:val="00BD480D"/>
    <w:rsid w:val="00BD74B4"/>
    <w:rsid w:val="00BE011D"/>
    <w:rsid w:val="00BE04B8"/>
    <w:rsid w:val="00BE055C"/>
    <w:rsid w:val="00BE1176"/>
    <w:rsid w:val="00BE1672"/>
    <w:rsid w:val="00BE2D0F"/>
    <w:rsid w:val="00BE6364"/>
    <w:rsid w:val="00BE74D4"/>
    <w:rsid w:val="00BF0B84"/>
    <w:rsid w:val="00BF1200"/>
    <w:rsid w:val="00BF2D26"/>
    <w:rsid w:val="00BF3D78"/>
    <w:rsid w:val="00BF3E3E"/>
    <w:rsid w:val="00BF44F4"/>
    <w:rsid w:val="00BF51FB"/>
    <w:rsid w:val="00BF5F50"/>
    <w:rsid w:val="00BF75B0"/>
    <w:rsid w:val="00C00196"/>
    <w:rsid w:val="00C00CA2"/>
    <w:rsid w:val="00C016D7"/>
    <w:rsid w:val="00C01870"/>
    <w:rsid w:val="00C04FA4"/>
    <w:rsid w:val="00C06C74"/>
    <w:rsid w:val="00C12060"/>
    <w:rsid w:val="00C127F0"/>
    <w:rsid w:val="00C15B87"/>
    <w:rsid w:val="00C16BD9"/>
    <w:rsid w:val="00C17545"/>
    <w:rsid w:val="00C2053C"/>
    <w:rsid w:val="00C20FC3"/>
    <w:rsid w:val="00C21C24"/>
    <w:rsid w:val="00C224C8"/>
    <w:rsid w:val="00C23D31"/>
    <w:rsid w:val="00C26FA9"/>
    <w:rsid w:val="00C31CA1"/>
    <w:rsid w:val="00C33BF6"/>
    <w:rsid w:val="00C33D43"/>
    <w:rsid w:val="00C33D45"/>
    <w:rsid w:val="00C37F73"/>
    <w:rsid w:val="00C41309"/>
    <w:rsid w:val="00C41BC1"/>
    <w:rsid w:val="00C4216E"/>
    <w:rsid w:val="00C43065"/>
    <w:rsid w:val="00C4353A"/>
    <w:rsid w:val="00C4469C"/>
    <w:rsid w:val="00C56B2C"/>
    <w:rsid w:val="00C5770F"/>
    <w:rsid w:val="00C6301C"/>
    <w:rsid w:val="00C669A9"/>
    <w:rsid w:val="00C66C45"/>
    <w:rsid w:val="00C66F71"/>
    <w:rsid w:val="00C73354"/>
    <w:rsid w:val="00C737F2"/>
    <w:rsid w:val="00C73E9C"/>
    <w:rsid w:val="00C74AB0"/>
    <w:rsid w:val="00C74E10"/>
    <w:rsid w:val="00C75B9B"/>
    <w:rsid w:val="00C760B9"/>
    <w:rsid w:val="00C76495"/>
    <w:rsid w:val="00C77318"/>
    <w:rsid w:val="00C77C87"/>
    <w:rsid w:val="00C81AAB"/>
    <w:rsid w:val="00C83D14"/>
    <w:rsid w:val="00C83DE3"/>
    <w:rsid w:val="00C84470"/>
    <w:rsid w:val="00C84E7B"/>
    <w:rsid w:val="00C85E5E"/>
    <w:rsid w:val="00C87212"/>
    <w:rsid w:val="00C90D8A"/>
    <w:rsid w:val="00C94229"/>
    <w:rsid w:val="00C94B2E"/>
    <w:rsid w:val="00C962C4"/>
    <w:rsid w:val="00CA04AC"/>
    <w:rsid w:val="00CA1565"/>
    <w:rsid w:val="00CA296B"/>
    <w:rsid w:val="00CA36FB"/>
    <w:rsid w:val="00CA379D"/>
    <w:rsid w:val="00CA4CB9"/>
    <w:rsid w:val="00CA4F33"/>
    <w:rsid w:val="00CA798A"/>
    <w:rsid w:val="00CB0663"/>
    <w:rsid w:val="00CB0B36"/>
    <w:rsid w:val="00CB1460"/>
    <w:rsid w:val="00CB1B8F"/>
    <w:rsid w:val="00CB3825"/>
    <w:rsid w:val="00CB47CA"/>
    <w:rsid w:val="00CB4EC4"/>
    <w:rsid w:val="00CB6D52"/>
    <w:rsid w:val="00CB737C"/>
    <w:rsid w:val="00CB7A06"/>
    <w:rsid w:val="00CB7F69"/>
    <w:rsid w:val="00CC20FB"/>
    <w:rsid w:val="00CC2487"/>
    <w:rsid w:val="00CC2DB8"/>
    <w:rsid w:val="00CC33D3"/>
    <w:rsid w:val="00CC33DD"/>
    <w:rsid w:val="00CC4214"/>
    <w:rsid w:val="00CC612D"/>
    <w:rsid w:val="00CC67BF"/>
    <w:rsid w:val="00CD3BF6"/>
    <w:rsid w:val="00CD46DB"/>
    <w:rsid w:val="00CD5AB5"/>
    <w:rsid w:val="00CD5B25"/>
    <w:rsid w:val="00CD6C77"/>
    <w:rsid w:val="00CE0F51"/>
    <w:rsid w:val="00CE1430"/>
    <w:rsid w:val="00CE260B"/>
    <w:rsid w:val="00CE4E93"/>
    <w:rsid w:val="00CE5AE9"/>
    <w:rsid w:val="00CE69C6"/>
    <w:rsid w:val="00CE7CA6"/>
    <w:rsid w:val="00CF174F"/>
    <w:rsid w:val="00CF3C23"/>
    <w:rsid w:val="00CF583F"/>
    <w:rsid w:val="00CF6021"/>
    <w:rsid w:val="00D054B0"/>
    <w:rsid w:val="00D06D2B"/>
    <w:rsid w:val="00D0738D"/>
    <w:rsid w:val="00D07712"/>
    <w:rsid w:val="00D10738"/>
    <w:rsid w:val="00D12DA5"/>
    <w:rsid w:val="00D14A0F"/>
    <w:rsid w:val="00D15334"/>
    <w:rsid w:val="00D156B2"/>
    <w:rsid w:val="00D1622D"/>
    <w:rsid w:val="00D1752A"/>
    <w:rsid w:val="00D21429"/>
    <w:rsid w:val="00D21694"/>
    <w:rsid w:val="00D22B95"/>
    <w:rsid w:val="00D2388F"/>
    <w:rsid w:val="00D24574"/>
    <w:rsid w:val="00D25B3B"/>
    <w:rsid w:val="00D3043F"/>
    <w:rsid w:val="00D31F0A"/>
    <w:rsid w:val="00D35386"/>
    <w:rsid w:val="00D35BD7"/>
    <w:rsid w:val="00D35FD8"/>
    <w:rsid w:val="00D3687E"/>
    <w:rsid w:val="00D405D7"/>
    <w:rsid w:val="00D41E81"/>
    <w:rsid w:val="00D426CD"/>
    <w:rsid w:val="00D43618"/>
    <w:rsid w:val="00D468F0"/>
    <w:rsid w:val="00D46A7B"/>
    <w:rsid w:val="00D53897"/>
    <w:rsid w:val="00D54B12"/>
    <w:rsid w:val="00D55AB1"/>
    <w:rsid w:val="00D56E7A"/>
    <w:rsid w:val="00D601A4"/>
    <w:rsid w:val="00D6263E"/>
    <w:rsid w:val="00D63910"/>
    <w:rsid w:val="00D63967"/>
    <w:rsid w:val="00D63D30"/>
    <w:rsid w:val="00D662DA"/>
    <w:rsid w:val="00D72B14"/>
    <w:rsid w:val="00D76590"/>
    <w:rsid w:val="00D76A78"/>
    <w:rsid w:val="00D80AE0"/>
    <w:rsid w:val="00D81C0F"/>
    <w:rsid w:val="00D8304A"/>
    <w:rsid w:val="00D83204"/>
    <w:rsid w:val="00D84AF6"/>
    <w:rsid w:val="00D85073"/>
    <w:rsid w:val="00D855F7"/>
    <w:rsid w:val="00D91D2D"/>
    <w:rsid w:val="00D93D55"/>
    <w:rsid w:val="00D94D39"/>
    <w:rsid w:val="00D95700"/>
    <w:rsid w:val="00D96340"/>
    <w:rsid w:val="00D97449"/>
    <w:rsid w:val="00DA1907"/>
    <w:rsid w:val="00DA2228"/>
    <w:rsid w:val="00DA36DB"/>
    <w:rsid w:val="00DA55B7"/>
    <w:rsid w:val="00DA5FC2"/>
    <w:rsid w:val="00DA7553"/>
    <w:rsid w:val="00DA7794"/>
    <w:rsid w:val="00DB0A1B"/>
    <w:rsid w:val="00DB1000"/>
    <w:rsid w:val="00DB1BE5"/>
    <w:rsid w:val="00DB28E9"/>
    <w:rsid w:val="00DB3DA0"/>
    <w:rsid w:val="00DB4F4E"/>
    <w:rsid w:val="00DB79F9"/>
    <w:rsid w:val="00DB7C2A"/>
    <w:rsid w:val="00DB7EF3"/>
    <w:rsid w:val="00DC06F1"/>
    <w:rsid w:val="00DC0C72"/>
    <w:rsid w:val="00DC7090"/>
    <w:rsid w:val="00DD0131"/>
    <w:rsid w:val="00DD0E13"/>
    <w:rsid w:val="00DD0E46"/>
    <w:rsid w:val="00DD1DF0"/>
    <w:rsid w:val="00DD1FD8"/>
    <w:rsid w:val="00DD355D"/>
    <w:rsid w:val="00DD4640"/>
    <w:rsid w:val="00DD5C5F"/>
    <w:rsid w:val="00DD7DF6"/>
    <w:rsid w:val="00DD7E42"/>
    <w:rsid w:val="00DE09AA"/>
    <w:rsid w:val="00DE4C9C"/>
    <w:rsid w:val="00DE577E"/>
    <w:rsid w:val="00DE7174"/>
    <w:rsid w:val="00DF1A19"/>
    <w:rsid w:val="00DF3A66"/>
    <w:rsid w:val="00DF6EC5"/>
    <w:rsid w:val="00E00CAA"/>
    <w:rsid w:val="00E045D8"/>
    <w:rsid w:val="00E04C04"/>
    <w:rsid w:val="00E06EF2"/>
    <w:rsid w:val="00E10BBD"/>
    <w:rsid w:val="00E141A6"/>
    <w:rsid w:val="00E16E9A"/>
    <w:rsid w:val="00E175EB"/>
    <w:rsid w:val="00E17B5B"/>
    <w:rsid w:val="00E20312"/>
    <w:rsid w:val="00E205DD"/>
    <w:rsid w:val="00E26A85"/>
    <w:rsid w:val="00E32155"/>
    <w:rsid w:val="00E32885"/>
    <w:rsid w:val="00E34631"/>
    <w:rsid w:val="00E4010D"/>
    <w:rsid w:val="00E404B2"/>
    <w:rsid w:val="00E42ADF"/>
    <w:rsid w:val="00E43522"/>
    <w:rsid w:val="00E45CF2"/>
    <w:rsid w:val="00E5114D"/>
    <w:rsid w:val="00E518D5"/>
    <w:rsid w:val="00E533CB"/>
    <w:rsid w:val="00E53B48"/>
    <w:rsid w:val="00E561D9"/>
    <w:rsid w:val="00E57D7B"/>
    <w:rsid w:val="00E57F37"/>
    <w:rsid w:val="00E60371"/>
    <w:rsid w:val="00E603B8"/>
    <w:rsid w:val="00E60685"/>
    <w:rsid w:val="00E628F4"/>
    <w:rsid w:val="00E640B9"/>
    <w:rsid w:val="00E64C6A"/>
    <w:rsid w:val="00E721D6"/>
    <w:rsid w:val="00E7287E"/>
    <w:rsid w:val="00E74A03"/>
    <w:rsid w:val="00E759B3"/>
    <w:rsid w:val="00E763DF"/>
    <w:rsid w:val="00E76559"/>
    <w:rsid w:val="00E76B8C"/>
    <w:rsid w:val="00E81337"/>
    <w:rsid w:val="00E8176F"/>
    <w:rsid w:val="00E81AA7"/>
    <w:rsid w:val="00E85FD7"/>
    <w:rsid w:val="00E901E4"/>
    <w:rsid w:val="00E90295"/>
    <w:rsid w:val="00E9079F"/>
    <w:rsid w:val="00E909BF"/>
    <w:rsid w:val="00E940AD"/>
    <w:rsid w:val="00E97FB7"/>
    <w:rsid w:val="00EA2299"/>
    <w:rsid w:val="00EA29DB"/>
    <w:rsid w:val="00EA30D8"/>
    <w:rsid w:val="00EA3F3D"/>
    <w:rsid w:val="00EA55D0"/>
    <w:rsid w:val="00EA5C69"/>
    <w:rsid w:val="00EA64BD"/>
    <w:rsid w:val="00EA6577"/>
    <w:rsid w:val="00EA67C3"/>
    <w:rsid w:val="00EA7918"/>
    <w:rsid w:val="00EB016F"/>
    <w:rsid w:val="00EB10A1"/>
    <w:rsid w:val="00EB134F"/>
    <w:rsid w:val="00EB4892"/>
    <w:rsid w:val="00EB5087"/>
    <w:rsid w:val="00EB64C7"/>
    <w:rsid w:val="00EB66E1"/>
    <w:rsid w:val="00EB731B"/>
    <w:rsid w:val="00EC1945"/>
    <w:rsid w:val="00EC2F88"/>
    <w:rsid w:val="00EC36ED"/>
    <w:rsid w:val="00EC3C9A"/>
    <w:rsid w:val="00EC41B4"/>
    <w:rsid w:val="00EC7AE6"/>
    <w:rsid w:val="00ED0490"/>
    <w:rsid w:val="00ED152C"/>
    <w:rsid w:val="00ED3F10"/>
    <w:rsid w:val="00ED5BB5"/>
    <w:rsid w:val="00ED62CC"/>
    <w:rsid w:val="00EE18BE"/>
    <w:rsid w:val="00EE1D7E"/>
    <w:rsid w:val="00EE2F50"/>
    <w:rsid w:val="00EE3844"/>
    <w:rsid w:val="00EE3F5A"/>
    <w:rsid w:val="00EF0826"/>
    <w:rsid w:val="00EF30D9"/>
    <w:rsid w:val="00EF41BA"/>
    <w:rsid w:val="00EF46F4"/>
    <w:rsid w:val="00EF5A4B"/>
    <w:rsid w:val="00F00409"/>
    <w:rsid w:val="00F01747"/>
    <w:rsid w:val="00F066E1"/>
    <w:rsid w:val="00F11C1A"/>
    <w:rsid w:val="00F12DD7"/>
    <w:rsid w:val="00F157C3"/>
    <w:rsid w:val="00F1581A"/>
    <w:rsid w:val="00F160C3"/>
    <w:rsid w:val="00F16627"/>
    <w:rsid w:val="00F17E6B"/>
    <w:rsid w:val="00F17F4F"/>
    <w:rsid w:val="00F20430"/>
    <w:rsid w:val="00F21C2F"/>
    <w:rsid w:val="00F22AE4"/>
    <w:rsid w:val="00F25367"/>
    <w:rsid w:val="00F2594E"/>
    <w:rsid w:val="00F25A9E"/>
    <w:rsid w:val="00F27398"/>
    <w:rsid w:val="00F32115"/>
    <w:rsid w:val="00F34E91"/>
    <w:rsid w:val="00F35393"/>
    <w:rsid w:val="00F36260"/>
    <w:rsid w:val="00F37568"/>
    <w:rsid w:val="00F379D1"/>
    <w:rsid w:val="00F41FB2"/>
    <w:rsid w:val="00F44334"/>
    <w:rsid w:val="00F44DEC"/>
    <w:rsid w:val="00F4646F"/>
    <w:rsid w:val="00F47057"/>
    <w:rsid w:val="00F47558"/>
    <w:rsid w:val="00F52080"/>
    <w:rsid w:val="00F52D0A"/>
    <w:rsid w:val="00F5369C"/>
    <w:rsid w:val="00F552AD"/>
    <w:rsid w:val="00F564D2"/>
    <w:rsid w:val="00F62071"/>
    <w:rsid w:val="00F6281E"/>
    <w:rsid w:val="00F640BD"/>
    <w:rsid w:val="00F64589"/>
    <w:rsid w:val="00F65580"/>
    <w:rsid w:val="00F67B70"/>
    <w:rsid w:val="00F70558"/>
    <w:rsid w:val="00F73619"/>
    <w:rsid w:val="00F74334"/>
    <w:rsid w:val="00F7460D"/>
    <w:rsid w:val="00F76525"/>
    <w:rsid w:val="00F820BD"/>
    <w:rsid w:val="00F83FD6"/>
    <w:rsid w:val="00F92DF9"/>
    <w:rsid w:val="00F94630"/>
    <w:rsid w:val="00F95033"/>
    <w:rsid w:val="00F964FA"/>
    <w:rsid w:val="00F96E1E"/>
    <w:rsid w:val="00FA0052"/>
    <w:rsid w:val="00FA0D08"/>
    <w:rsid w:val="00FA0EF0"/>
    <w:rsid w:val="00FA408E"/>
    <w:rsid w:val="00FA4335"/>
    <w:rsid w:val="00FA4468"/>
    <w:rsid w:val="00FA56B2"/>
    <w:rsid w:val="00FA66F4"/>
    <w:rsid w:val="00FA7AEF"/>
    <w:rsid w:val="00FB2481"/>
    <w:rsid w:val="00FB2492"/>
    <w:rsid w:val="00FB2CE5"/>
    <w:rsid w:val="00FC09A6"/>
    <w:rsid w:val="00FC4518"/>
    <w:rsid w:val="00FC53B6"/>
    <w:rsid w:val="00FC5408"/>
    <w:rsid w:val="00FC5BD6"/>
    <w:rsid w:val="00FD1352"/>
    <w:rsid w:val="00FD3D67"/>
    <w:rsid w:val="00FE04F8"/>
    <w:rsid w:val="00FF0514"/>
    <w:rsid w:val="00FF33DA"/>
    <w:rsid w:val="00FF40F5"/>
    <w:rsid w:val="00FF489A"/>
    <w:rsid w:val="00FF6B7A"/>
    <w:rsid w:val="00FF7C8F"/>
    <w:rsid w:val="01340F34"/>
    <w:rsid w:val="01BD3DD9"/>
    <w:rsid w:val="023B6EF0"/>
    <w:rsid w:val="0252329B"/>
    <w:rsid w:val="02CC235C"/>
    <w:rsid w:val="02F22954"/>
    <w:rsid w:val="03EC421F"/>
    <w:rsid w:val="04036D2C"/>
    <w:rsid w:val="0505700A"/>
    <w:rsid w:val="050C6EF2"/>
    <w:rsid w:val="05126070"/>
    <w:rsid w:val="052B41C9"/>
    <w:rsid w:val="05811A87"/>
    <w:rsid w:val="05977657"/>
    <w:rsid w:val="067135D1"/>
    <w:rsid w:val="067C17B1"/>
    <w:rsid w:val="074D0940"/>
    <w:rsid w:val="077B52EE"/>
    <w:rsid w:val="08507F69"/>
    <w:rsid w:val="089C5747"/>
    <w:rsid w:val="094059B3"/>
    <w:rsid w:val="097C1182"/>
    <w:rsid w:val="09861A2D"/>
    <w:rsid w:val="09DB427F"/>
    <w:rsid w:val="0AFE6A28"/>
    <w:rsid w:val="0BB92AEA"/>
    <w:rsid w:val="0BCB11D8"/>
    <w:rsid w:val="0C076128"/>
    <w:rsid w:val="0C5A34AA"/>
    <w:rsid w:val="0C6D1077"/>
    <w:rsid w:val="0C7413EA"/>
    <w:rsid w:val="0C7E56EC"/>
    <w:rsid w:val="0CA17FC0"/>
    <w:rsid w:val="0CA24283"/>
    <w:rsid w:val="0D1C33B7"/>
    <w:rsid w:val="0D3A7F63"/>
    <w:rsid w:val="0DD24DAB"/>
    <w:rsid w:val="0E406DD7"/>
    <w:rsid w:val="0EA47CA7"/>
    <w:rsid w:val="0EF540C7"/>
    <w:rsid w:val="0F235E99"/>
    <w:rsid w:val="0F360677"/>
    <w:rsid w:val="0F431E2D"/>
    <w:rsid w:val="0F4A1DF3"/>
    <w:rsid w:val="0FA47C51"/>
    <w:rsid w:val="0FC523DF"/>
    <w:rsid w:val="0FE62E35"/>
    <w:rsid w:val="0FF95270"/>
    <w:rsid w:val="10747EAF"/>
    <w:rsid w:val="110B2B3B"/>
    <w:rsid w:val="1129059D"/>
    <w:rsid w:val="12CF6C43"/>
    <w:rsid w:val="138B58DE"/>
    <w:rsid w:val="13B24E8F"/>
    <w:rsid w:val="14741381"/>
    <w:rsid w:val="14F43B98"/>
    <w:rsid w:val="1542050A"/>
    <w:rsid w:val="15893E4A"/>
    <w:rsid w:val="159E0560"/>
    <w:rsid w:val="16356C4A"/>
    <w:rsid w:val="163C23B8"/>
    <w:rsid w:val="17305A79"/>
    <w:rsid w:val="17ED253D"/>
    <w:rsid w:val="183260E2"/>
    <w:rsid w:val="18FB6FE4"/>
    <w:rsid w:val="19E7019A"/>
    <w:rsid w:val="19EC4D0D"/>
    <w:rsid w:val="1A1063B7"/>
    <w:rsid w:val="1A4023A9"/>
    <w:rsid w:val="1A9D63D0"/>
    <w:rsid w:val="1B2D0B60"/>
    <w:rsid w:val="1B4558FD"/>
    <w:rsid w:val="1C3C3B14"/>
    <w:rsid w:val="1C515945"/>
    <w:rsid w:val="1C847FD6"/>
    <w:rsid w:val="1C962494"/>
    <w:rsid w:val="1C9C167D"/>
    <w:rsid w:val="1D772259"/>
    <w:rsid w:val="1DB47B67"/>
    <w:rsid w:val="1E702C67"/>
    <w:rsid w:val="1EEE122A"/>
    <w:rsid w:val="1F062E3A"/>
    <w:rsid w:val="1F7D20AF"/>
    <w:rsid w:val="1FD92195"/>
    <w:rsid w:val="204E33E9"/>
    <w:rsid w:val="20985644"/>
    <w:rsid w:val="20A25820"/>
    <w:rsid w:val="20E668AD"/>
    <w:rsid w:val="213D031E"/>
    <w:rsid w:val="222D00B7"/>
    <w:rsid w:val="225D79B4"/>
    <w:rsid w:val="231434E6"/>
    <w:rsid w:val="23396D6C"/>
    <w:rsid w:val="234C76CD"/>
    <w:rsid w:val="23501783"/>
    <w:rsid w:val="23580C60"/>
    <w:rsid w:val="23B40C6C"/>
    <w:rsid w:val="24335324"/>
    <w:rsid w:val="253A7E59"/>
    <w:rsid w:val="25556DCE"/>
    <w:rsid w:val="256A0843"/>
    <w:rsid w:val="25831704"/>
    <w:rsid w:val="25C27D7C"/>
    <w:rsid w:val="25C7343F"/>
    <w:rsid w:val="263115FD"/>
    <w:rsid w:val="2698165A"/>
    <w:rsid w:val="269E2880"/>
    <w:rsid w:val="26BB349C"/>
    <w:rsid w:val="27256683"/>
    <w:rsid w:val="27A05ECF"/>
    <w:rsid w:val="27DE25AA"/>
    <w:rsid w:val="27EA3888"/>
    <w:rsid w:val="27F1396D"/>
    <w:rsid w:val="282223DE"/>
    <w:rsid w:val="283769A4"/>
    <w:rsid w:val="28665A6A"/>
    <w:rsid w:val="288063BA"/>
    <w:rsid w:val="289E2D2A"/>
    <w:rsid w:val="28B2522E"/>
    <w:rsid w:val="28EA6BA8"/>
    <w:rsid w:val="29406C56"/>
    <w:rsid w:val="29853458"/>
    <w:rsid w:val="298D358F"/>
    <w:rsid w:val="299571CE"/>
    <w:rsid w:val="2A266F75"/>
    <w:rsid w:val="2A4110C5"/>
    <w:rsid w:val="2ABE6639"/>
    <w:rsid w:val="2AF86FF3"/>
    <w:rsid w:val="2B6356CF"/>
    <w:rsid w:val="2B670123"/>
    <w:rsid w:val="2B8D011F"/>
    <w:rsid w:val="2BEA21DC"/>
    <w:rsid w:val="2DB063FB"/>
    <w:rsid w:val="2E7A486E"/>
    <w:rsid w:val="2EA81F8B"/>
    <w:rsid w:val="2ECE7305"/>
    <w:rsid w:val="2F08717F"/>
    <w:rsid w:val="2F347650"/>
    <w:rsid w:val="2FAA3008"/>
    <w:rsid w:val="30C370DB"/>
    <w:rsid w:val="316235F3"/>
    <w:rsid w:val="31AB1737"/>
    <w:rsid w:val="320A599A"/>
    <w:rsid w:val="336542B7"/>
    <w:rsid w:val="34587D51"/>
    <w:rsid w:val="354725E7"/>
    <w:rsid w:val="354C2EAD"/>
    <w:rsid w:val="361B4786"/>
    <w:rsid w:val="36212AC8"/>
    <w:rsid w:val="367100A2"/>
    <w:rsid w:val="368C67C7"/>
    <w:rsid w:val="36952832"/>
    <w:rsid w:val="36C03118"/>
    <w:rsid w:val="377159C7"/>
    <w:rsid w:val="3835411C"/>
    <w:rsid w:val="38544129"/>
    <w:rsid w:val="39111DC2"/>
    <w:rsid w:val="39587D15"/>
    <w:rsid w:val="396D2586"/>
    <w:rsid w:val="39910BBE"/>
    <w:rsid w:val="3A027253"/>
    <w:rsid w:val="3AD41434"/>
    <w:rsid w:val="3AEB446C"/>
    <w:rsid w:val="3B1321EB"/>
    <w:rsid w:val="3B2F4577"/>
    <w:rsid w:val="3B3E36B9"/>
    <w:rsid w:val="3B99001B"/>
    <w:rsid w:val="3BE508B6"/>
    <w:rsid w:val="3C691978"/>
    <w:rsid w:val="3DA51640"/>
    <w:rsid w:val="3E1B479D"/>
    <w:rsid w:val="3E8C760E"/>
    <w:rsid w:val="3EE81C50"/>
    <w:rsid w:val="3F337F2C"/>
    <w:rsid w:val="3F36725C"/>
    <w:rsid w:val="3F8700DD"/>
    <w:rsid w:val="40A54CEA"/>
    <w:rsid w:val="41803455"/>
    <w:rsid w:val="42171F01"/>
    <w:rsid w:val="4244692F"/>
    <w:rsid w:val="42657452"/>
    <w:rsid w:val="4281419F"/>
    <w:rsid w:val="434316A8"/>
    <w:rsid w:val="437B1AAD"/>
    <w:rsid w:val="437D0AA1"/>
    <w:rsid w:val="4391188D"/>
    <w:rsid w:val="44152685"/>
    <w:rsid w:val="442E7372"/>
    <w:rsid w:val="4434090B"/>
    <w:rsid w:val="44462533"/>
    <w:rsid w:val="446712E7"/>
    <w:rsid w:val="447A67B6"/>
    <w:rsid w:val="44924E00"/>
    <w:rsid w:val="450C2911"/>
    <w:rsid w:val="45795629"/>
    <w:rsid w:val="45932075"/>
    <w:rsid w:val="45D166AB"/>
    <w:rsid w:val="466308BE"/>
    <w:rsid w:val="492F2C33"/>
    <w:rsid w:val="49DE3BFF"/>
    <w:rsid w:val="4A061981"/>
    <w:rsid w:val="4AAD295C"/>
    <w:rsid w:val="4ADB0C83"/>
    <w:rsid w:val="4B0822CA"/>
    <w:rsid w:val="4B155B4D"/>
    <w:rsid w:val="4B3E2241"/>
    <w:rsid w:val="4B8318C5"/>
    <w:rsid w:val="4BC2185A"/>
    <w:rsid w:val="4BC75C23"/>
    <w:rsid w:val="4BE52064"/>
    <w:rsid w:val="4C597CE5"/>
    <w:rsid w:val="4C8B3E7A"/>
    <w:rsid w:val="4CB77691"/>
    <w:rsid w:val="4CE0661A"/>
    <w:rsid w:val="4D226388"/>
    <w:rsid w:val="4DEC2E14"/>
    <w:rsid w:val="4E6775ED"/>
    <w:rsid w:val="4EB04AC9"/>
    <w:rsid w:val="4ED71F58"/>
    <w:rsid w:val="4F022BC9"/>
    <w:rsid w:val="4F400F53"/>
    <w:rsid w:val="50E602F5"/>
    <w:rsid w:val="51312AE3"/>
    <w:rsid w:val="51D03BC2"/>
    <w:rsid w:val="521C49FD"/>
    <w:rsid w:val="523A591A"/>
    <w:rsid w:val="523C23CA"/>
    <w:rsid w:val="52691F2C"/>
    <w:rsid w:val="5290068D"/>
    <w:rsid w:val="53292804"/>
    <w:rsid w:val="53467680"/>
    <w:rsid w:val="53C8382B"/>
    <w:rsid w:val="540B1276"/>
    <w:rsid w:val="5422724B"/>
    <w:rsid w:val="54800E0E"/>
    <w:rsid w:val="5487607C"/>
    <w:rsid w:val="54FA32C2"/>
    <w:rsid w:val="550B46F9"/>
    <w:rsid w:val="551624E4"/>
    <w:rsid w:val="55673919"/>
    <w:rsid w:val="557C2F26"/>
    <w:rsid w:val="55E30133"/>
    <w:rsid w:val="55FC6D5C"/>
    <w:rsid w:val="563F6FD8"/>
    <w:rsid w:val="564C78DD"/>
    <w:rsid w:val="56781997"/>
    <w:rsid w:val="56D00DD1"/>
    <w:rsid w:val="570E116A"/>
    <w:rsid w:val="57735A83"/>
    <w:rsid w:val="5779390D"/>
    <w:rsid w:val="58E40C57"/>
    <w:rsid w:val="59043770"/>
    <w:rsid w:val="59717AA4"/>
    <w:rsid w:val="59845E77"/>
    <w:rsid w:val="59DB6B2F"/>
    <w:rsid w:val="59F42A67"/>
    <w:rsid w:val="5AD0334A"/>
    <w:rsid w:val="5B376E59"/>
    <w:rsid w:val="5B5C0CAE"/>
    <w:rsid w:val="5BD975E8"/>
    <w:rsid w:val="5C6C66B1"/>
    <w:rsid w:val="5C780A1A"/>
    <w:rsid w:val="5CB25B25"/>
    <w:rsid w:val="5CBF66F1"/>
    <w:rsid w:val="5E850F54"/>
    <w:rsid w:val="5F372C0B"/>
    <w:rsid w:val="5FC31D63"/>
    <w:rsid w:val="61053A27"/>
    <w:rsid w:val="61323EFB"/>
    <w:rsid w:val="61453703"/>
    <w:rsid w:val="615E37F8"/>
    <w:rsid w:val="61FC3FE9"/>
    <w:rsid w:val="6259301E"/>
    <w:rsid w:val="62653EA3"/>
    <w:rsid w:val="62B62B23"/>
    <w:rsid w:val="635C47C4"/>
    <w:rsid w:val="63E03358"/>
    <w:rsid w:val="63E65A90"/>
    <w:rsid w:val="64243337"/>
    <w:rsid w:val="65237FA5"/>
    <w:rsid w:val="656D69D4"/>
    <w:rsid w:val="658C57F9"/>
    <w:rsid w:val="662560CA"/>
    <w:rsid w:val="66E241AB"/>
    <w:rsid w:val="66FF0AD0"/>
    <w:rsid w:val="672F4C6C"/>
    <w:rsid w:val="6814594E"/>
    <w:rsid w:val="688B1126"/>
    <w:rsid w:val="68A213D5"/>
    <w:rsid w:val="68C3318C"/>
    <w:rsid w:val="6924483B"/>
    <w:rsid w:val="69F233C3"/>
    <w:rsid w:val="69FA2BA2"/>
    <w:rsid w:val="6A0A7861"/>
    <w:rsid w:val="6A32742E"/>
    <w:rsid w:val="6A5354C6"/>
    <w:rsid w:val="6A5B69BA"/>
    <w:rsid w:val="6B1D23B5"/>
    <w:rsid w:val="6B5C0924"/>
    <w:rsid w:val="6BB4100D"/>
    <w:rsid w:val="6BEA56C6"/>
    <w:rsid w:val="6C716EE3"/>
    <w:rsid w:val="6CA01483"/>
    <w:rsid w:val="6CE847DB"/>
    <w:rsid w:val="6D8569C4"/>
    <w:rsid w:val="6DC95DF5"/>
    <w:rsid w:val="6DCB58D3"/>
    <w:rsid w:val="6E0E7DAE"/>
    <w:rsid w:val="6E5F146E"/>
    <w:rsid w:val="6E8B032E"/>
    <w:rsid w:val="6ECE6B46"/>
    <w:rsid w:val="6F834E9D"/>
    <w:rsid w:val="6FDC1D5C"/>
    <w:rsid w:val="711F0EA5"/>
    <w:rsid w:val="714838D4"/>
    <w:rsid w:val="714F6BE8"/>
    <w:rsid w:val="715D7117"/>
    <w:rsid w:val="718B2535"/>
    <w:rsid w:val="71AD412B"/>
    <w:rsid w:val="71B94C7C"/>
    <w:rsid w:val="71C22974"/>
    <w:rsid w:val="72272F4F"/>
    <w:rsid w:val="72D930B7"/>
    <w:rsid w:val="72FF3735"/>
    <w:rsid w:val="7340284E"/>
    <w:rsid w:val="734279D1"/>
    <w:rsid w:val="73B8417E"/>
    <w:rsid w:val="73DF7BB7"/>
    <w:rsid w:val="73E42DD0"/>
    <w:rsid w:val="742820ED"/>
    <w:rsid w:val="744E6F9F"/>
    <w:rsid w:val="74525BBF"/>
    <w:rsid w:val="74645A1A"/>
    <w:rsid w:val="74E83CE7"/>
    <w:rsid w:val="758A76F6"/>
    <w:rsid w:val="761A45D4"/>
    <w:rsid w:val="76D715F4"/>
    <w:rsid w:val="7729171F"/>
    <w:rsid w:val="772D4356"/>
    <w:rsid w:val="772F53E8"/>
    <w:rsid w:val="774152C2"/>
    <w:rsid w:val="776E037C"/>
    <w:rsid w:val="77EE09A1"/>
    <w:rsid w:val="78497B73"/>
    <w:rsid w:val="786A1D67"/>
    <w:rsid w:val="78C536DC"/>
    <w:rsid w:val="78DE50A9"/>
    <w:rsid w:val="78DE729D"/>
    <w:rsid w:val="78EC6AAE"/>
    <w:rsid w:val="78FF150C"/>
    <w:rsid w:val="79947F8E"/>
    <w:rsid w:val="79D21555"/>
    <w:rsid w:val="79E13D17"/>
    <w:rsid w:val="7BF60927"/>
    <w:rsid w:val="7C1156D2"/>
    <w:rsid w:val="7C2F0329"/>
    <w:rsid w:val="7C633532"/>
    <w:rsid w:val="7CEE3289"/>
    <w:rsid w:val="7D152761"/>
    <w:rsid w:val="7D910FA5"/>
    <w:rsid w:val="7DC73915"/>
    <w:rsid w:val="7E0F250A"/>
    <w:rsid w:val="7E4A432D"/>
    <w:rsid w:val="7EBE388C"/>
    <w:rsid w:val="7F921C14"/>
    <w:rsid w:val="7FC25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iPriority="99" w:semiHidden="0" w:name="FollowedHyperlink"/>
    <w:lsdException w:unhideWhenUsed="0" w:uiPriority="22"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qFormat="1"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9"/>
    <w:uiPriority w:val="0"/>
    <w:pPr>
      <w:keepNext/>
      <w:keepLines/>
      <w:spacing w:line="576" w:lineRule="auto"/>
      <w:outlineLvl w:val="0"/>
    </w:pPr>
    <w:rPr>
      <w:b/>
      <w:spacing w:val="-2"/>
      <w:kern w:val="44"/>
      <w:sz w:val="32"/>
    </w:rPr>
  </w:style>
  <w:style w:type="paragraph" w:styleId="4">
    <w:name w:val="heading 2"/>
    <w:basedOn w:val="1"/>
    <w:next w:val="1"/>
    <w:link w:val="50"/>
    <w:uiPriority w:val="0"/>
    <w:pPr>
      <w:keepNext/>
      <w:numPr>
        <w:ilvl w:val="1"/>
        <w:numId w:val="1"/>
      </w:numPr>
      <w:outlineLvl w:val="1"/>
    </w:pPr>
    <w:rPr>
      <w:rFonts w:ascii="宋体" w:hAnsi="宋体"/>
      <w:color w:val="000000"/>
      <w:sz w:val="28"/>
      <w:lang w:val="zh-CN"/>
    </w:rPr>
  </w:style>
  <w:style w:type="paragraph" w:styleId="2">
    <w:name w:val="heading 3"/>
    <w:basedOn w:val="1"/>
    <w:next w:val="1"/>
    <w:link w:val="48"/>
    <w:uiPriority w:val="0"/>
    <w:pPr>
      <w:keepNext/>
      <w:keepLines/>
      <w:tabs>
        <w:tab w:val="left" w:pos="720"/>
      </w:tabs>
      <w:spacing w:before="260" w:after="260" w:line="416" w:lineRule="auto"/>
      <w:ind w:left="720" w:hanging="720"/>
      <w:outlineLvl w:val="2"/>
    </w:pPr>
    <w:rPr>
      <w:b/>
      <w:bCs/>
      <w:sz w:val="32"/>
      <w:szCs w:val="32"/>
    </w:rPr>
  </w:style>
  <w:style w:type="paragraph" w:styleId="5">
    <w:name w:val="heading 4"/>
    <w:basedOn w:val="1"/>
    <w:next w:val="1"/>
    <w:link w:val="51"/>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5"/>
    <w:basedOn w:val="1"/>
    <w:next w:val="1"/>
    <w:link w:val="52"/>
    <w:uiPriority w:val="0"/>
    <w:pPr>
      <w:keepNext/>
      <w:keepLines/>
      <w:spacing w:before="280" w:after="290" w:line="376" w:lineRule="auto"/>
      <w:outlineLvl w:val="4"/>
    </w:pPr>
    <w:rPr>
      <w:rFonts w:ascii="Times New Roman" w:hAnsi="Times New Roman"/>
      <w:b/>
      <w:bCs/>
      <w:sz w:val="28"/>
      <w:szCs w:val="28"/>
      <w:lang w:val="zh-CN"/>
    </w:rPr>
  </w:style>
  <w:style w:type="paragraph" w:styleId="7">
    <w:name w:val="heading 6"/>
    <w:basedOn w:val="1"/>
    <w:next w:val="1"/>
    <w:link w:val="53"/>
    <w:uiPriority w:val="0"/>
    <w:pPr>
      <w:keepNext/>
      <w:keepLines/>
      <w:spacing w:before="240" w:after="64" w:line="320" w:lineRule="auto"/>
      <w:outlineLvl w:val="5"/>
    </w:pPr>
    <w:rPr>
      <w:rFonts w:ascii="Arial" w:hAnsi="Arial" w:eastAsia="黑体"/>
      <w:b/>
      <w:bCs/>
      <w:sz w:val="24"/>
      <w:szCs w:val="24"/>
      <w:lang w:val="zh-CN"/>
    </w:rPr>
  </w:style>
  <w:style w:type="paragraph" w:styleId="8">
    <w:name w:val="heading 7"/>
    <w:basedOn w:val="1"/>
    <w:next w:val="1"/>
    <w:link w:val="54"/>
    <w:uiPriority w:val="0"/>
    <w:pPr>
      <w:keepNext/>
      <w:keepLines/>
      <w:spacing w:before="240" w:after="64" w:line="320" w:lineRule="auto"/>
      <w:outlineLvl w:val="6"/>
    </w:pPr>
    <w:rPr>
      <w:rFonts w:ascii="Times New Roman" w:hAnsi="Times New Roman"/>
      <w:b/>
      <w:bCs/>
      <w:sz w:val="24"/>
      <w:szCs w:val="24"/>
      <w:lang w:val="zh-CN"/>
    </w:rPr>
  </w:style>
  <w:style w:type="paragraph" w:styleId="9">
    <w:name w:val="heading 8"/>
    <w:basedOn w:val="1"/>
    <w:next w:val="1"/>
    <w:link w:val="55"/>
    <w:uiPriority w:val="0"/>
    <w:pPr>
      <w:keepNext/>
      <w:keepLines/>
      <w:spacing w:before="240" w:after="64" w:line="320" w:lineRule="auto"/>
      <w:outlineLvl w:val="7"/>
    </w:pPr>
    <w:rPr>
      <w:rFonts w:ascii="Arial" w:hAnsi="Arial" w:eastAsia="黑体"/>
      <w:sz w:val="24"/>
      <w:szCs w:val="24"/>
      <w:lang w:val="zh-CN"/>
    </w:rPr>
  </w:style>
  <w:style w:type="paragraph" w:styleId="10">
    <w:name w:val="heading 9"/>
    <w:basedOn w:val="1"/>
    <w:next w:val="1"/>
    <w:link w:val="56"/>
    <w:uiPriority w:val="0"/>
    <w:pPr>
      <w:keepNext/>
      <w:keepLines/>
      <w:spacing w:before="240" w:after="64" w:line="320" w:lineRule="auto"/>
      <w:outlineLvl w:val="8"/>
    </w:pPr>
    <w:rPr>
      <w:rFonts w:ascii="Arial" w:hAnsi="Arial" w:eastAsia="黑体"/>
      <w:szCs w:val="21"/>
      <w:lang w:val="zh-CN"/>
    </w:rPr>
  </w:style>
  <w:style w:type="character" w:default="1" w:styleId="41">
    <w:name w:val="Default Paragraph Font"/>
    <w:semiHidden/>
    <w:unhideWhenUsed/>
    <w:uiPriority w:val="1"/>
  </w:style>
  <w:style w:type="table" w:default="1" w:styleId="38">
    <w:name w:val="Normal Table"/>
    <w:semiHidden/>
    <w:unhideWhenUsed/>
    <w:uiPriority w:val="99"/>
    <w:tblPr>
      <w:tblCellMar>
        <w:top w:w="0" w:type="dxa"/>
        <w:left w:w="108" w:type="dxa"/>
        <w:bottom w:w="0" w:type="dxa"/>
        <w:right w:w="108" w:type="dxa"/>
      </w:tblCellMar>
    </w:tblPr>
  </w:style>
  <w:style w:type="paragraph" w:styleId="11">
    <w:name w:val="Normal Indent"/>
    <w:basedOn w:val="1"/>
    <w:link w:val="70"/>
    <w:uiPriority w:val="0"/>
    <w:pPr>
      <w:ind w:firstLine="420"/>
    </w:pPr>
  </w:style>
  <w:style w:type="paragraph" w:styleId="12">
    <w:name w:val="Document Map"/>
    <w:basedOn w:val="1"/>
    <w:link w:val="59"/>
    <w:uiPriority w:val="0"/>
    <w:rPr>
      <w:rFonts w:ascii="宋体"/>
      <w:sz w:val="18"/>
      <w:szCs w:val="18"/>
    </w:rPr>
  </w:style>
  <w:style w:type="paragraph" w:styleId="13">
    <w:name w:val="annotation text"/>
    <w:basedOn w:val="1"/>
    <w:link w:val="65"/>
    <w:uiPriority w:val="0"/>
    <w:pPr>
      <w:jc w:val="left"/>
    </w:pPr>
  </w:style>
  <w:style w:type="paragraph" w:styleId="14">
    <w:name w:val="Body Text 3"/>
    <w:basedOn w:val="1"/>
    <w:link w:val="131"/>
    <w:uiPriority w:val="0"/>
    <w:pPr>
      <w:jc w:val="center"/>
    </w:pPr>
    <w:rPr>
      <w:sz w:val="15"/>
      <w:szCs w:val="24"/>
    </w:rPr>
  </w:style>
  <w:style w:type="paragraph" w:styleId="15">
    <w:name w:val="Body Text"/>
    <w:basedOn w:val="1"/>
    <w:link w:val="71"/>
    <w:uiPriority w:val="0"/>
    <w:pPr>
      <w:spacing w:line="360" w:lineRule="auto"/>
    </w:pPr>
    <w:rPr>
      <w:sz w:val="24"/>
    </w:rPr>
  </w:style>
  <w:style w:type="paragraph" w:styleId="16">
    <w:name w:val="Body Text Indent"/>
    <w:basedOn w:val="1"/>
    <w:link w:val="69"/>
    <w:uiPriority w:val="0"/>
    <w:pPr>
      <w:spacing w:line="400" w:lineRule="exact"/>
      <w:ind w:firstLine="480"/>
    </w:pPr>
    <w:rPr>
      <w:rFonts w:ascii="仿宋_GB2312" w:eastAsia="仿宋_GB2312"/>
    </w:rPr>
  </w:style>
  <w:style w:type="paragraph" w:styleId="17">
    <w:name w:val="List 2"/>
    <w:basedOn w:val="1"/>
    <w:uiPriority w:val="0"/>
    <w:pPr>
      <w:ind w:left="100" w:leftChars="200" w:hanging="200" w:hangingChars="200"/>
    </w:pPr>
    <w:rPr>
      <w:rFonts w:ascii="Times New Roman" w:hAnsi="Times New Roman"/>
      <w:szCs w:val="20"/>
    </w:rPr>
  </w:style>
  <w:style w:type="paragraph" w:styleId="18">
    <w:name w:val="Block Text"/>
    <w:basedOn w:val="1"/>
    <w:uiPriority w:val="0"/>
    <w:pPr>
      <w:spacing w:after="120"/>
      <w:ind w:left="1440" w:leftChars="700" w:right="1440" w:rightChars="700"/>
    </w:pPr>
    <w:rPr>
      <w:rFonts w:ascii="Times New Roman" w:hAnsi="Times New Roman"/>
      <w:szCs w:val="20"/>
    </w:rPr>
  </w:style>
  <w:style w:type="paragraph" w:styleId="19">
    <w:name w:val="Plain Text"/>
    <w:basedOn w:val="1"/>
    <w:link w:val="68"/>
    <w:uiPriority w:val="0"/>
    <w:rPr>
      <w:rFonts w:hAnsi="Courier New" w:cs="Courier New"/>
      <w:szCs w:val="21"/>
    </w:rPr>
  </w:style>
  <w:style w:type="paragraph" w:styleId="20">
    <w:name w:val="Date"/>
    <w:basedOn w:val="1"/>
    <w:next w:val="1"/>
    <w:link w:val="132"/>
    <w:uiPriority w:val="0"/>
    <w:pPr>
      <w:adjustRightInd w:val="0"/>
      <w:snapToGrid w:val="0"/>
      <w:spacing w:line="360" w:lineRule="auto"/>
      <w:ind w:left="100" w:leftChars="2500"/>
    </w:pPr>
    <w:rPr>
      <w:rFonts w:ascii="等线" w:hAnsi="等线" w:eastAsia="仿宋_GB2312"/>
      <w:bCs/>
      <w:sz w:val="28"/>
      <w:szCs w:val="32"/>
    </w:rPr>
  </w:style>
  <w:style w:type="paragraph" w:styleId="21">
    <w:name w:val="Body Text Indent 2"/>
    <w:basedOn w:val="1"/>
    <w:link w:val="134"/>
    <w:uiPriority w:val="0"/>
    <w:pPr>
      <w:spacing w:line="360" w:lineRule="auto"/>
      <w:ind w:firstLine="480" w:firstLineChars="200"/>
    </w:pPr>
    <w:rPr>
      <w:rFonts w:ascii="等线" w:hAnsi="等线" w:eastAsia="等线"/>
      <w:color w:val="000000"/>
      <w:sz w:val="24"/>
    </w:rPr>
  </w:style>
  <w:style w:type="paragraph" w:styleId="22">
    <w:name w:val="Balloon Text"/>
    <w:basedOn w:val="1"/>
    <w:link w:val="63"/>
    <w:uiPriority w:val="0"/>
    <w:rPr>
      <w:sz w:val="18"/>
      <w:szCs w:val="18"/>
    </w:rPr>
  </w:style>
  <w:style w:type="paragraph" w:styleId="23">
    <w:name w:val="footer"/>
    <w:basedOn w:val="1"/>
    <w:link w:val="67"/>
    <w:uiPriority w:val="99"/>
    <w:pPr>
      <w:tabs>
        <w:tab w:val="center" w:pos="4153"/>
        <w:tab w:val="right" w:pos="8306"/>
      </w:tabs>
      <w:snapToGrid w:val="0"/>
      <w:jc w:val="left"/>
    </w:pPr>
    <w:rPr>
      <w:sz w:val="18"/>
      <w:szCs w:val="18"/>
    </w:rPr>
  </w:style>
  <w:style w:type="paragraph" w:styleId="24">
    <w:name w:val="header"/>
    <w:basedOn w:val="1"/>
    <w:link w:val="73"/>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iPriority w:val="0"/>
    <w:pPr>
      <w:tabs>
        <w:tab w:val="left" w:pos="420"/>
        <w:tab w:val="right" w:leader="dot" w:pos="8303"/>
      </w:tabs>
    </w:pPr>
    <w:rPr>
      <w:rFonts w:ascii="仿宋_GB2312" w:hAnsi="Arial Black" w:eastAsia="仿宋_GB2312"/>
      <w:sz w:val="28"/>
      <w:szCs w:val="20"/>
    </w:rPr>
  </w:style>
  <w:style w:type="paragraph" w:styleId="26">
    <w:name w:val="toc 4"/>
    <w:basedOn w:val="1"/>
    <w:next w:val="1"/>
    <w:uiPriority w:val="0"/>
    <w:pPr>
      <w:ind w:left="1260" w:leftChars="600"/>
    </w:pPr>
    <w:rPr>
      <w:rFonts w:ascii="Times New Roman" w:hAnsi="Times New Roman"/>
      <w:szCs w:val="20"/>
    </w:rPr>
  </w:style>
  <w:style w:type="paragraph" w:styleId="27">
    <w:name w:val="List"/>
    <w:basedOn w:val="1"/>
    <w:uiPriority w:val="0"/>
    <w:pPr>
      <w:spacing w:line="360" w:lineRule="exact"/>
      <w:jc w:val="center"/>
    </w:pPr>
    <w:rPr>
      <w:rFonts w:ascii="仿宋_GB2312" w:eastAsia="仿宋_GB2312"/>
    </w:rPr>
  </w:style>
  <w:style w:type="paragraph" w:styleId="28">
    <w:name w:val="Body Text Indent 3"/>
    <w:basedOn w:val="1"/>
    <w:link w:val="66"/>
    <w:uiPriority w:val="0"/>
    <w:pPr>
      <w:spacing w:line="400" w:lineRule="exact"/>
      <w:ind w:firstLine="480" w:firstLineChars="200"/>
    </w:pPr>
  </w:style>
  <w:style w:type="paragraph" w:styleId="29">
    <w:name w:val="table of figures"/>
    <w:basedOn w:val="1"/>
    <w:next w:val="1"/>
    <w:uiPriority w:val="0"/>
    <w:pPr>
      <w:ind w:left="200" w:leftChars="200" w:hanging="200" w:hangingChars="200"/>
    </w:pPr>
  </w:style>
  <w:style w:type="paragraph" w:styleId="30">
    <w:name w:val="toc 2"/>
    <w:basedOn w:val="1"/>
    <w:next w:val="1"/>
    <w:uiPriority w:val="0"/>
    <w:pPr>
      <w:adjustRightInd w:val="0"/>
      <w:snapToGrid w:val="0"/>
      <w:ind w:right="-120" w:rightChars="-50"/>
      <w:jc w:val="center"/>
    </w:pPr>
    <w:rPr>
      <w:rFonts w:ascii="宋体" w:hAnsi="宋体"/>
      <w:szCs w:val="21"/>
    </w:rPr>
  </w:style>
  <w:style w:type="paragraph" w:styleId="31">
    <w:name w:val="Body Text 2"/>
    <w:basedOn w:val="1"/>
    <w:link w:val="72"/>
    <w:uiPriority w:val="0"/>
    <w:pPr>
      <w:spacing w:after="120" w:line="480" w:lineRule="auto"/>
    </w:pPr>
  </w:style>
  <w:style w:type="paragraph" w:styleId="32">
    <w:name w:val="HTML Preformatted"/>
    <w:basedOn w:val="1"/>
    <w:link w:val="136"/>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3">
    <w:name w:val="Normal (Web)"/>
    <w:basedOn w:val="1"/>
    <w:uiPriority w:val="99"/>
    <w:pPr>
      <w:widowControl/>
      <w:spacing w:before="100" w:beforeAutospacing="1" w:after="100" w:afterAutospacing="1"/>
      <w:jc w:val="left"/>
    </w:pPr>
    <w:rPr>
      <w:rFonts w:hint="eastAsia" w:ascii="宋体" w:hAnsi="宋体"/>
      <w:kern w:val="0"/>
      <w:sz w:val="18"/>
    </w:rPr>
  </w:style>
  <w:style w:type="paragraph" w:styleId="34">
    <w:name w:val="Title"/>
    <w:basedOn w:val="1"/>
    <w:next w:val="1"/>
    <w:link w:val="130"/>
    <w:uiPriority w:val="0"/>
    <w:pPr>
      <w:spacing w:before="240" w:after="60"/>
      <w:jc w:val="center"/>
      <w:outlineLvl w:val="0"/>
    </w:pPr>
    <w:rPr>
      <w:rFonts w:ascii="Cambria" w:hAnsi="Cambria"/>
      <w:b/>
      <w:bCs/>
      <w:sz w:val="32"/>
      <w:szCs w:val="32"/>
    </w:rPr>
  </w:style>
  <w:style w:type="paragraph" w:styleId="35">
    <w:name w:val="annotation subject"/>
    <w:basedOn w:val="13"/>
    <w:next w:val="13"/>
    <w:link w:val="64"/>
    <w:uiPriority w:val="0"/>
    <w:rPr>
      <w:b/>
      <w:bCs/>
    </w:rPr>
  </w:style>
  <w:style w:type="paragraph" w:styleId="36">
    <w:name w:val="Body Text First Indent"/>
    <w:basedOn w:val="15"/>
    <w:link w:val="113"/>
    <w:uiPriority w:val="0"/>
    <w:pPr>
      <w:spacing w:after="120" w:line="240" w:lineRule="auto"/>
      <w:ind w:firstLine="420" w:firstLineChars="100"/>
    </w:pPr>
    <w:rPr>
      <w:rFonts w:ascii="Times New Roman" w:hAnsi="Times New Roman"/>
      <w:sz w:val="21"/>
      <w:szCs w:val="20"/>
    </w:rPr>
  </w:style>
  <w:style w:type="paragraph" w:styleId="37">
    <w:name w:val="Body Text First Indent 2"/>
    <w:basedOn w:val="1"/>
    <w:next w:val="1"/>
    <w:uiPriority w:val="0"/>
    <w:pPr>
      <w:ind w:firstLine="420" w:firstLineChars="200"/>
    </w:pPr>
  </w:style>
  <w:style w:type="table" w:styleId="39">
    <w:name w:val="Table Grid"/>
    <w:basedOn w:val="38"/>
    <w:qFormat/>
    <w:uiPriority w:val="0"/>
    <w:pPr>
      <w:adjustRightInd w:val="0"/>
      <w:snapToGrid w:val="0"/>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Times New Roman" w:hAnsi="Times New Roman"/>
        <w:b/>
        <w:sz w:val="21"/>
      </w:rPr>
      <w:tcPr>
        <w:tcBorders>
          <w:top w:val="single" w:color="auto" w:sz="4" w:space="0"/>
          <w:left w:val="nil"/>
          <w:bottom w:val="single" w:color="auto" w:sz="4" w:space="0"/>
          <w:right w:val="nil"/>
          <w:insideH w:val="nil"/>
          <w:insideV w:val="nil"/>
          <w:tl2br w:val="nil"/>
          <w:tr2bl w:val="nil"/>
        </w:tcBorders>
      </w:tcPr>
    </w:tblStylePr>
  </w:style>
  <w:style w:type="table" w:styleId="40">
    <w:name w:val="Table Theme"/>
    <w:basedOn w:val="3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uiPriority w:val="22"/>
    <w:rPr>
      <w:b/>
      <w:bCs/>
    </w:rPr>
  </w:style>
  <w:style w:type="character" w:styleId="43">
    <w:name w:val="page number"/>
    <w:basedOn w:val="41"/>
    <w:uiPriority w:val="0"/>
  </w:style>
  <w:style w:type="character" w:styleId="44">
    <w:name w:val="FollowedHyperlink"/>
    <w:unhideWhenUsed/>
    <w:uiPriority w:val="99"/>
    <w:rPr>
      <w:color w:val="954F72"/>
      <w:u w:val="single"/>
    </w:rPr>
  </w:style>
  <w:style w:type="character" w:styleId="45">
    <w:name w:val="Emphasis"/>
    <w:uiPriority w:val="0"/>
    <w:rPr>
      <w:rFonts w:eastAsia="仿宋_GB2312"/>
      <w:b/>
      <w:iCs/>
      <w:sz w:val="24"/>
    </w:rPr>
  </w:style>
  <w:style w:type="character" w:styleId="46">
    <w:name w:val="Hyperlink"/>
    <w:uiPriority w:val="0"/>
    <w:rPr>
      <w:rFonts w:eastAsia="黑体"/>
      <w:snapToGrid/>
      <w:color w:val="0000FF"/>
      <w:sz w:val="24"/>
      <w:szCs w:val="24"/>
      <w:u w:val="single"/>
    </w:rPr>
  </w:style>
  <w:style w:type="character" w:styleId="47">
    <w:name w:val="annotation reference"/>
    <w:qFormat/>
    <w:uiPriority w:val="0"/>
    <w:rPr>
      <w:rFonts w:eastAsia="黑体"/>
      <w:b/>
      <w:bCs/>
      <w:snapToGrid/>
      <w:sz w:val="21"/>
      <w:szCs w:val="21"/>
    </w:rPr>
  </w:style>
  <w:style w:type="character" w:customStyle="1" w:styleId="48">
    <w:name w:val="标题 3 字符"/>
    <w:link w:val="2"/>
    <w:qFormat/>
    <w:uiPriority w:val="0"/>
    <w:rPr>
      <w:rFonts w:ascii="Calibri" w:hAnsi="Calibri"/>
      <w:b/>
      <w:bCs/>
      <w:kern w:val="2"/>
      <w:sz w:val="32"/>
      <w:szCs w:val="32"/>
    </w:rPr>
  </w:style>
  <w:style w:type="character" w:customStyle="1" w:styleId="49">
    <w:name w:val="标题 1 字符"/>
    <w:link w:val="3"/>
    <w:uiPriority w:val="0"/>
    <w:rPr>
      <w:rFonts w:ascii="Calibri" w:hAnsi="Calibri"/>
      <w:b/>
      <w:spacing w:val="-2"/>
      <w:kern w:val="44"/>
      <w:sz w:val="32"/>
      <w:szCs w:val="22"/>
    </w:rPr>
  </w:style>
  <w:style w:type="character" w:customStyle="1" w:styleId="50">
    <w:name w:val="标题 2 字符1"/>
    <w:link w:val="4"/>
    <w:qFormat/>
    <w:uiPriority w:val="0"/>
    <w:rPr>
      <w:rFonts w:ascii="宋体" w:hAnsi="宋体"/>
      <w:color w:val="000000"/>
      <w:kern w:val="2"/>
      <w:sz w:val="28"/>
      <w:szCs w:val="22"/>
      <w:lang w:val="zh-CN"/>
    </w:rPr>
  </w:style>
  <w:style w:type="character" w:customStyle="1" w:styleId="51">
    <w:name w:val="标题 4 字符1"/>
    <w:link w:val="5"/>
    <w:uiPriority w:val="0"/>
    <w:rPr>
      <w:rFonts w:ascii="Arial" w:hAnsi="Arial" w:eastAsia="黑体"/>
      <w:b/>
      <w:bCs/>
      <w:kern w:val="2"/>
      <w:sz w:val="28"/>
      <w:szCs w:val="28"/>
      <w:lang w:val="zh-CN"/>
    </w:rPr>
  </w:style>
  <w:style w:type="character" w:customStyle="1" w:styleId="52">
    <w:name w:val="标题 5 字符1"/>
    <w:link w:val="6"/>
    <w:uiPriority w:val="0"/>
    <w:rPr>
      <w:b/>
      <w:bCs/>
      <w:kern w:val="2"/>
      <w:sz w:val="28"/>
      <w:szCs w:val="28"/>
      <w:lang w:val="zh-CN"/>
    </w:rPr>
  </w:style>
  <w:style w:type="character" w:customStyle="1" w:styleId="53">
    <w:name w:val="标题 6 字符1"/>
    <w:link w:val="7"/>
    <w:uiPriority w:val="0"/>
    <w:rPr>
      <w:rFonts w:ascii="Arial" w:hAnsi="Arial" w:eastAsia="黑体"/>
      <w:b/>
      <w:bCs/>
      <w:kern w:val="2"/>
      <w:sz w:val="24"/>
      <w:szCs w:val="24"/>
      <w:lang w:val="zh-CN"/>
    </w:rPr>
  </w:style>
  <w:style w:type="character" w:customStyle="1" w:styleId="54">
    <w:name w:val="标题 7 字符1"/>
    <w:link w:val="8"/>
    <w:uiPriority w:val="0"/>
    <w:rPr>
      <w:b/>
      <w:bCs/>
      <w:kern w:val="2"/>
      <w:sz w:val="24"/>
      <w:szCs w:val="24"/>
      <w:lang w:val="zh-CN"/>
    </w:rPr>
  </w:style>
  <w:style w:type="character" w:customStyle="1" w:styleId="55">
    <w:name w:val="标题 8 字符1"/>
    <w:link w:val="9"/>
    <w:uiPriority w:val="0"/>
    <w:rPr>
      <w:rFonts w:ascii="Arial" w:hAnsi="Arial" w:eastAsia="黑体"/>
      <w:kern w:val="2"/>
      <w:sz w:val="24"/>
      <w:szCs w:val="24"/>
      <w:lang w:val="zh-CN"/>
    </w:rPr>
  </w:style>
  <w:style w:type="character" w:customStyle="1" w:styleId="56">
    <w:name w:val="标题 9 字符1"/>
    <w:link w:val="10"/>
    <w:uiPriority w:val="0"/>
    <w:rPr>
      <w:rFonts w:ascii="Arial" w:hAnsi="Arial" w:eastAsia="黑体"/>
      <w:kern w:val="2"/>
      <w:sz w:val="21"/>
      <w:szCs w:val="21"/>
      <w:lang w:val="zh-CN"/>
    </w:rPr>
  </w:style>
  <w:style w:type="paragraph" w:customStyle="1" w:styleId="57">
    <w:name w:val="_Style 17"/>
    <w:basedOn w:val="1"/>
    <w:uiPriority w:val="0"/>
  </w:style>
  <w:style w:type="character" w:customStyle="1" w:styleId="58">
    <w:name w:val="font21"/>
    <w:uiPriority w:val="0"/>
    <w:rPr>
      <w:rFonts w:hint="default" w:ascii="Times New Roman" w:hAnsi="Times New Roman" w:cs="Times New Roman"/>
      <w:color w:val="000000"/>
      <w:sz w:val="21"/>
      <w:szCs w:val="21"/>
      <w:u w:val="none"/>
    </w:rPr>
  </w:style>
  <w:style w:type="character" w:customStyle="1" w:styleId="59">
    <w:name w:val="文档结构图 字符"/>
    <w:link w:val="12"/>
    <w:qFormat/>
    <w:uiPriority w:val="99"/>
    <w:rPr>
      <w:rFonts w:ascii="宋体" w:hAnsi="Calibri" w:cs="Times New Roman"/>
      <w:kern w:val="2"/>
      <w:sz w:val="18"/>
      <w:szCs w:val="18"/>
    </w:rPr>
  </w:style>
  <w:style w:type="character" w:customStyle="1" w:styleId="60">
    <w:name w:val="font11"/>
    <w:uiPriority w:val="0"/>
    <w:rPr>
      <w:sz w:val="18"/>
    </w:rPr>
  </w:style>
  <w:style w:type="character" w:customStyle="1" w:styleId="61">
    <w:name w:val="正文lcc1 Char"/>
    <w:link w:val="62"/>
    <w:qFormat/>
    <w:uiPriority w:val="0"/>
    <w:rPr>
      <w:rFonts w:ascii="Times New Roman" w:hAnsi="Times New Roman"/>
      <w:color w:val="000000"/>
      <w:sz w:val="24"/>
      <w:szCs w:val="20"/>
    </w:rPr>
  </w:style>
  <w:style w:type="paragraph" w:customStyle="1" w:styleId="62">
    <w:name w:val="正文lcc1"/>
    <w:basedOn w:val="1"/>
    <w:link w:val="61"/>
    <w:uiPriority w:val="0"/>
    <w:pPr>
      <w:spacing w:line="360" w:lineRule="auto"/>
      <w:ind w:firstLine="200" w:firstLineChars="200"/>
    </w:pPr>
    <w:rPr>
      <w:rFonts w:ascii="Times New Roman" w:hAnsi="Times New Roman"/>
      <w:color w:val="000000"/>
      <w:sz w:val="24"/>
      <w:szCs w:val="20"/>
    </w:rPr>
  </w:style>
  <w:style w:type="character" w:customStyle="1" w:styleId="63">
    <w:name w:val="批注框文本 字符"/>
    <w:link w:val="22"/>
    <w:qFormat/>
    <w:uiPriority w:val="99"/>
    <w:rPr>
      <w:rFonts w:ascii="Calibri" w:hAnsi="Calibri" w:eastAsia="宋体" w:cs="Times New Roman"/>
      <w:kern w:val="2"/>
      <w:sz w:val="18"/>
      <w:szCs w:val="18"/>
    </w:rPr>
  </w:style>
  <w:style w:type="character" w:customStyle="1" w:styleId="64">
    <w:name w:val="批注主题 字符"/>
    <w:link w:val="35"/>
    <w:qFormat/>
    <w:uiPriority w:val="99"/>
    <w:rPr>
      <w:rFonts w:ascii="Calibri" w:hAnsi="Calibri" w:eastAsia="宋体" w:cs="Times New Roman"/>
      <w:b/>
      <w:bCs/>
      <w:kern w:val="2"/>
      <w:sz w:val="21"/>
      <w:szCs w:val="22"/>
    </w:rPr>
  </w:style>
  <w:style w:type="character" w:customStyle="1" w:styleId="65">
    <w:name w:val="批注文字 字符"/>
    <w:link w:val="13"/>
    <w:qFormat/>
    <w:uiPriority w:val="99"/>
    <w:rPr>
      <w:rFonts w:ascii="Calibri" w:hAnsi="Calibri" w:eastAsia="宋体" w:cs="Times New Roman"/>
      <w:kern w:val="2"/>
      <w:sz w:val="21"/>
      <w:szCs w:val="22"/>
    </w:rPr>
  </w:style>
  <w:style w:type="character" w:customStyle="1" w:styleId="66">
    <w:name w:val="正文文本缩进 3 字符"/>
    <w:link w:val="28"/>
    <w:uiPriority w:val="0"/>
    <w:rPr>
      <w:rFonts w:ascii="Calibri" w:hAnsi="Calibri"/>
      <w:kern w:val="2"/>
      <w:sz w:val="21"/>
      <w:szCs w:val="22"/>
    </w:rPr>
  </w:style>
  <w:style w:type="character" w:customStyle="1" w:styleId="67">
    <w:name w:val="页脚 字符"/>
    <w:link w:val="23"/>
    <w:qFormat/>
    <w:uiPriority w:val="99"/>
    <w:rPr>
      <w:rFonts w:ascii="Calibri" w:hAnsi="Calibri"/>
      <w:kern w:val="2"/>
      <w:sz w:val="18"/>
      <w:szCs w:val="18"/>
    </w:rPr>
  </w:style>
  <w:style w:type="character" w:customStyle="1" w:styleId="68">
    <w:name w:val="纯文本 字符"/>
    <w:link w:val="19"/>
    <w:uiPriority w:val="0"/>
    <w:rPr>
      <w:rFonts w:ascii="Calibri" w:hAnsi="Courier New" w:cs="Courier New"/>
      <w:kern w:val="2"/>
      <w:sz w:val="21"/>
      <w:szCs w:val="21"/>
    </w:rPr>
  </w:style>
  <w:style w:type="character" w:customStyle="1" w:styleId="69">
    <w:name w:val="正文文本缩进 字符"/>
    <w:link w:val="16"/>
    <w:uiPriority w:val="0"/>
    <w:rPr>
      <w:rFonts w:ascii="仿宋_GB2312" w:hAnsi="Calibri" w:eastAsia="仿宋_GB2312"/>
      <w:kern w:val="2"/>
      <w:sz w:val="21"/>
      <w:szCs w:val="22"/>
    </w:rPr>
  </w:style>
  <w:style w:type="character" w:customStyle="1" w:styleId="70">
    <w:name w:val="正文缩进 字符"/>
    <w:link w:val="11"/>
    <w:uiPriority w:val="0"/>
    <w:rPr>
      <w:rFonts w:ascii="Calibri" w:hAnsi="Calibri"/>
      <w:kern w:val="2"/>
      <w:sz w:val="21"/>
      <w:szCs w:val="22"/>
    </w:rPr>
  </w:style>
  <w:style w:type="character" w:customStyle="1" w:styleId="71">
    <w:name w:val="正文文本 字符"/>
    <w:link w:val="15"/>
    <w:uiPriority w:val="99"/>
    <w:rPr>
      <w:rFonts w:ascii="Calibri" w:hAnsi="Calibri"/>
      <w:kern w:val="2"/>
      <w:sz w:val="24"/>
      <w:szCs w:val="22"/>
    </w:rPr>
  </w:style>
  <w:style w:type="character" w:customStyle="1" w:styleId="72">
    <w:name w:val="正文文本 2 字符"/>
    <w:link w:val="31"/>
    <w:uiPriority w:val="0"/>
    <w:rPr>
      <w:rFonts w:ascii="Calibri" w:hAnsi="Calibri"/>
      <w:kern w:val="2"/>
      <w:sz w:val="21"/>
      <w:szCs w:val="22"/>
    </w:rPr>
  </w:style>
  <w:style w:type="character" w:customStyle="1" w:styleId="73">
    <w:name w:val="页眉 字符"/>
    <w:link w:val="24"/>
    <w:qFormat/>
    <w:uiPriority w:val="99"/>
    <w:rPr>
      <w:rFonts w:ascii="Calibri" w:hAnsi="Calibri"/>
      <w:kern w:val="2"/>
      <w:sz w:val="18"/>
      <w:szCs w:val="18"/>
    </w:rPr>
  </w:style>
  <w:style w:type="paragraph" w:customStyle="1" w:styleId="74">
    <w:name w:val="表格 标题"/>
    <w:basedOn w:val="1"/>
    <w:uiPriority w:val="0"/>
    <w:pPr>
      <w:spacing w:beforeLines="20" w:afterLines="20" w:line="500" w:lineRule="exact"/>
      <w:jc w:val="center"/>
    </w:pPr>
    <w:rPr>
      <w:rFonts w:ascii="Arial" w:hAnsi="Arial" w:eastAsia="仿宋_GB2312"/>
      <w:b/>
      <w:sz w:val="24"/>
      <w:szCs w:val="24"/>
    </w:rPr>
  </w:style>
  <w:style w:type="paragraph" w:customStyle="1" w:styleId="75">
    <w:name w:val="表文-lcc"/>
    <w:basedOn w:val="19"/>
    <w:uiPriority w:val="0"/>
    <w:pPr>
      <w:jc w:val="center"/>
    </w:pPr>
    <w:rPr>
      <w:rFonts w:ascii="Times New Roman" w:hAnsi="Times New Roman"/>
    </w:rPr>
  </w:style>
  <w:style w:type="paragraph" w:customStyle="1" w:styleId="76">
    <w:name w:val="表格文字"/>
    <w:basedOn w:val="1"/>
    <w:link w:val="77"/>
    <w:uiPriority w:val="0"/>
    <w:pPr>
      <w:jc w:val="center"/>
    </w:pPr>
    <w:rPr>
      <w:rFonts w:ascii="仿宋_GB2312" w:hAnsi="Arial Black" w:eastAsia="仿宋_GB2312"/>
      <w:kern w:val="44"/>
      <w:sz w:val="24"/>
    </w:rPr>
  </w:style>
  <w:style w:type="character" w:customStyle="1" w:styleId="77">
    <w:name w:val="表格文字 Char"/>
    <w:link w:val="76"/>
    <w:uiPriority w:val="0"/>
    <w:rPr>
      <w:rFonts w:ascii="仿宋_GB2312" w:hAnsi="Arial Black" w:eastAsia="仿宋_GB2312"/>
      <w:kern w:val="44"/>
      <w:sz w:val="24"/>
      <w:szCs w:val="22"/>
    </w:rPr>
  </w:style>
  <w:style w:type="paragraph" w:customStyle="1" w:styleId="78">
    <w:name w:val="表头lcc"/>
    <w:basedOn w:val="79"/>
    <w:uiPriority w:val="0"/>
    <w:rPr>
      <w:rFonts w:ascii="Times New Roman" w:hAnsi="Times New Roman"/>
      <w:b w:val="0"/>
      <w:sz w:val="24"/>
      <w:szCs w:val="21"/>
    </w:rPr>
  </w:style>
  <w:style w:type="paragraph" w:customStyle="1" w:styleId="79">
    <w:name w:val="已有表格"/>
    <w:basedOn w:val="1"/>
    <w:uiPriority w:val="0"/>
    <w:pPr>
      <w:adjustRightInd w:val="0"/>
      <w:spacing w:before="40" w:after="40"/>
      <w:jc w:val="center"/>
      <w:textAlignment w:val="baseline"/>
    </w:pPr>
    <w:rPr>
      <w:b/>
      <w:kern w:val="0"/>
      <w:szCs w:val="20"/>
    </w:rPr>
  </w:style>
  <w:style w:type="paragraph" w:customStyle="1" w:styleId="80">
    <w:name w:val="标5lcc"/>
    <w:basedOn w:val="1"/>
    <w:uiPriority w:val="0"/>
    <w:pPr>
      <w:keepNext/>
      <w:keepLines/>
      <w:spacing w:afterLines="50"/>
      <w:ind w:firstLine="200" w:firstLineChars="200"/>
      <w:outlineLvl w:val="4"/>
    </w:pPr>
    <w:rPr>
      <w:rFonts w:ascii="Times New Roman" w:hAnsi="Times New Roman" w:eastAsia="Times New Roman"/>
      <w:b/>
      <w:kern w:val="24"/>
      <w:sz w:val="24"/>
      <w:szCs w:val="20"/>
    </w:rPr>
  </w:style>
  <w:style w:type="paragraph" w:customStyle="1" w:styleId="81">
    <w:name w:val="表头lcc1"/>
    <w:basedOn w:val="1"/>
    <w:uiPriority w:val="0"/>
    <w:pPr>
      <w:jc w:val="center"/>
    </w:pPr>
    <w:rPr>
      <w:rFonts w:ascii="Times New Roman" w:hAnsi="Times New Roman"/>
      <w:b/>
      <w:kern w:val="0"/>
      <w:szCs w:val="20"/>
    </w:rPr>
  </w:style>
  <w:style w:type="paragraph" w:customStyle="1" w:styleId="82">
    <w:name w:val="正文lcc"/>
    <w:basedOn w:val="1"/>
    <w:link w:val="246"/>
    <w:uiPriority w:val="0"/>
    <w:pPr>
      <w:snapToGrid w:val="0"/>
      <w:spacing w:line="360" w:lineRule="auto"/>
      <w:ind w:firstLine="480" w:firstLineChars="200"/>
    </w:pPr>
    <w:rPr>
      <w:rFonts w:ascii="Times New Roman" w:hAnsi="Times New Roman"/>
      <w:color w:val="000000"/>
      <w:sz w:val="24"/>
      <w:szCs w:val="20"/>
    </w:rPr>
  </w:style>
  <w:style w:type="paragraph" w:customStyle="1" w:styleId="83">
    <w:name w:val="标题3李程程、"/>
    <w:basedOn w:val="84"/>
    <w:uiPriority w:val="0"/>
    <w:pPr>
      <w:spacing w:line="360" w:lineRule="auto"/>
    </w:pPr>
    <w:rPr>
      <w:rFonts w:eastAsia="宋体"/>
      <w:b/>
      <w:kern w:val="2"/>
    </w:rPr>
  </w:style>
  <w:style w:type="paragraph" w:customStyle="1" w:styleId="84">
    <w:name w:val="Default"/>
    <w:uiPriority w:val="0"/>
    <w:pPr>
      <w:widowControl w:val="0"/>
      <w:autoSpaceDE w:val="0"/>
      <w:autoSpaceDN w:val="0"/>
      <w:adjustRightInd w:val="0"/>
      <w:spacing w:line="360" w:lineRule="atLeast"/>
      <w:jc w:val="both"/>
      <w:textAlignment w:val="baseline"/>
    </w:pPr>
    <w:rPr>
      <w:rFonts w:ascii="宋体" w:hAnsi="Calibri" w:eastAsia="黑体" w:cs="Times New Roman"/>
      <w:color w:val="000000"/>
      <w:sz w:val="24"/>
      <w:szCs w:val="24"/>
      <w:lang w:val="en-US" w:eastAsia="zh-CN" w:bidi="ar-SA"/>
    </w:rPr>
  </w:style>
  <w:style w:type="paragraph" w:customStyle="1" w:styleId="85">
    <w:name w:val="表居中（中文）"/>
    <w:basedOn w:val="1"/>
    <w:uiPriority w:val="0"/>
    <w:pPr>
      <w:adjustRightInd w:val="0"/>
      <w:spacing w:line="380" w:lineRule="atLeast"/>
      <w:jc w:val="center"/>
      <w:textAlignment w:val="baseline"/>
    </w:pPr>
    <w:rPr>
      <w:rFonts w:ascii="Times New Roman" w:hAnsi="Times New Roman" w:eastAsia="楷体_GB2312"/>
      <w:kern w:val="0"/>
      <w:szCs w:val="20"/>
    </w:rPr>
  </w:style>
  <w:style w:type="paragraph" w:customStyle="1" w:styleId="86">
    <w:name w:val="表头"/>
    <w:basedOn w:val="1"/>
    <w:uiPriority w:val="0"/>
    <w:pPr>
      <w:snapToGrid w:val="0"/>
      <w:spacing w:line="320" w:lineRule="atLeast"/>
      <w:jc w:val="center"/>
    </w:pPr>
    <w:rPr>
      <w:rFonts w:eastAsia="黑体"/>
      <w:spacing w:val="-10"/>
      <w:kern w:val="0"/>
    </w:rPr>
  </w:style>
  <w:style w:type="paragraph" w:customStyle="1" w:styleId="87">
    <w:name w:val="列出段落1"/>
    <w:basedOn w:val="1"/>
    <w:uiPriority w:val="34"/>
    <w:pPr>
      <w:ind w:firstLine="420" w:firstLineChars="200"/>
    </w:pPr>
    <w:rPr>
      <w:szCs w:val="20"/>
    </w:rPr>
  </w:style>
  <w:style w:type="paragraph" w:styleId="88">
    <w:name w:val="List Paragraph"/>
    <w:basedOn w:val="1"/>
    <w:uiPriority w:val="99"/>
    <w:pPr>
      <w:ind w:firstLine="420" w:firstLineChars="200"/>
    </w:pPr>
  </w:style>
  <w:style w:type="paragraph" w:customStyle="1" w:styleId="89">
    <w:name w:val="表题"/>
    <w:basedOn w:val="27"/>
    <w:uiPriority w:val="0"/>
    <w:pPr>
      <w:spacing w:beforeLines="50" w:line="480" w:lineRule="exact"/>
    </w:pPr>
    <w:rPr>
      <w:rFonts w:eastAsia="黑体"/>
      <w:sz w:val="28"/>
      <w:szCs w:val="24"/>
    </w:rPr>
  </w:style>
  <w:style w:type="paragraph" w:customStyle="1" w:styleId="90">
    <w:name w:val="新表"/>
    <w:basedOn w:val="1"/>
    <w:uiPriority w:val="0"/>
    <w:pPr>
      <w:spacing w:line="320" w:lineRule="exact"/>
      <w:jc w:val="center"/>
    </w:pPr>
    <w:rPr>
      <w:bCs/>
    </w:rPr>
  </w:style>
  <w:style w:type="paragraph" w:customStyle="1" w:styleId="91">
    <w:name w:val="正文lcc2"/>
    <w:basedOn w:val="15"/>
    <w:uiPriority w:val="0"/>
    <w:pPr>
      <w:ind w:firstLine="200" w:firstLineChars="200"/>
    </w:pPr>
    <w:rPr>
      <w:rFonts w:ascii="Times New Roman" w:hAnsi="Times New Roman"/>
    </w:rPr>
  </w:style>
  <w:style w:type="paragraph" w:customStyle="1" w:styleId="92">
    <w:name w:val="表内lcc"/>
    <w:basedOn w:val="93"/>
    <w:uiPriority w:val="0"/>
    <w:rPr>
      <w:rFonts w:ascii="Times New Roman" w:hAnsi="Times New Roman"/>
      <w:color w:val="000000"/>
    </w:rPr>
  </w:style>
  <w:style w:type="paragraph" w:customStyle="1" w:styleId="93">
    <w:name w:val="表内字"/>
    <w:basedOn w:val="1"/>
    <w:uiPriority w:val="0"/>
    <w:pPr>
      <w:adjustRightInd w:val="0"/>
      <w:jc w:val="center"/>
    </w:pPr>
    <w:rPr>
      <w:iCs/>
      <w:szCs w:val="21"/>
    </w:rPr>
  </w:style>
  <w:style w:type="paragraph" w:customStyle="1" w:styleId="94">
    <w:name w:val="表格-lcc"/>
    <w:basedOn w:val="1"/>
    <w:next w:val="1"/>
    <w:uiPriority w:val="0"/>
    <w:pPr>
      <w:snapToGrid w:val="0"/>
      <w:spacing w:line="276" w:lineRule="auto"/>
      <w:jc w:val="center"/>
    </w:pPr>
    <w:rPr>
      <w:rFonts w:ascii="Times New Roman" w:hAnsi="Times New Roman"/>
      <w:szCs w:val="21"/>
    </w:rPr>
  </w:style>
  <w:style w:type="paragraph" w:customStyle="1" w:styleId="95">
    <w:name w:val="样式2"/>
    <w:basedOn w:val="1"/>
    <w:uiPriority w:val="0"/>
    <w:pPr>
      <w:adjustRightInd w:val="0"/>
      <w:ind w:left="170"/>
      <w:jc w:val="left"/>
      <w:textAlignment w:val="baseline"/>
    </w:pPr>
    <w:rPr>
      <w:b/>
      <w:kern w:val="0"/>
      <w:sz w:val="24"/>
    </w:rPr>
  </w:style>
  <w:style w:type="paragraph" w:customStyle="1" w:styleId="96">
    <w:name w:val="标2lcc"/>
    <w:basedOn w:val="97"/>
    <w:uiPriority w:val="0"/>
    <w:pPr>
      <w:outlineLvl w:val="1"/>
    </w:pPr>
    <w:rPr>
      <w:rFonts w:ascii="Times New Roman" w:hAnsi="Times New Roman"/>
      <w:sz w:val="28"/>
    </w:rPr>
  </w:style>
  <w:style w:type="paragraph" w:customStyle="1" w:styleId="97">
    <w:name w:val="标题2"/>
    <w:basedOn w:val="1"/>
    <w:uiPriority w:val="0"/>
    <w:rPr>
      <w:rFonts w:ascii="宋体" w:hAnsi="宋体"/>
      <w:b/>
      <w:kern w:val="0"/>
      <w:sz w:val="24"/>
      <w:szCs w:val="24"/>
    </w:rPr>
  </w:style>
  <w:style w:type="paragraph" w:customStyle="1" w:styleId="98">
    <w:name w:val="小四宋居中1.0"/>
    <w:basedOn w:val="1"/>
    <w:next w:val="1"/>
    <w:uiPriority w:val="0"/>
    <w:pPr>
      <w:jc w:val="center"/>
    </w:pPr>
    <w:rPr>
      <w:szCs w:val="21"/>
    </w:rPr>
  </w:style>
  <w:style w:type="paragraph" w:customStyle="1" w:styleId="99">
    <w:name w:val="正文1-1"/>
    <w:basedOn w:val="1"/>
    <w:uiPriority w:val="0"/>
    <w:pPr>
      <w:widowControl/>
      <w:adjustRightInd w:val="0"/>
      <w:spacing w:line="360" w:lineRule="auto"/>
      <w:ind w:firstLine="200" w:firstLineChars="200"/>
      <w:jc w:val="left"/>
    </w:pPr>
    <w:rPr>
      <w:rFonts w:ascii="宋体" w:hAnsi="宋体"/>
    </w:rPr>
  </w:style>
  <w:style w:type="paragraph" w:customStyle="1" w:styleId="100">
    <w:name w:val="表格"/>
    <w:basedOn w:val="1"/>
    <w:link w:val="101"/>
    <w:uiPriority w:val="0"/>
    <w:pPr>
      <w:jc w:val="center"/>
    </w:pPr>
    <w:rPr>
      <w:sz w:val="24"/>
    </w:rPr>
  </w:style>
  <w:style w:type="character" w:customStyle="1" w:styleId="101">
    <w:name w:val="表格 Char"/>
    <w:link w:val="100"/>
    <w:qFormat/>
    <w:uiPriority w:val="0"/>
    <w:rPr>
      <w:rFonts w:ascii="Calibri" w:hAnsi="Calibri"/>
      <w:kern w:val="2"/>
      <w:sz w:val="24"/>
      <w:szCs w:val="22"/>
    </w:rPr>
  </w:style>
  <w:style w:type="paragraph" w:customStyle="1" w:styleId="102">
    <w:name w:val="小四表文左齐"/>
    <w:uiPriority w:val="0"/>
    <w:pPr>
      <w:jc w:val="center"/>
    </w:pPr>
    <w:rPr>
      <w:rFonts w:ascii="仿宋_GB2312" w:hAnsi="Times New Roman" w:eastAsia="仿宋_GB2312" w:cs="Times New Roman"/>
      <w:kern w:val="2"/>
      <w:sz w:val="24"/>
      <w:szCs w:val="22"/>
      <w:lang w:val="en-US" w:eastAsia="zh-CN" w:bidi="ar-SA"/>
    </w:rPr>
  </w:style>
  <w:style w:type="paragraph" w:customStyle="1" w:styleId="103">
    <w:name w:val="表格正文"/>
    <w:basedOn w:val="1"/>
    <w:link w:val="104"/>
    <w:uiPriority w:val="0"/>
    <w:pPr>
      <w:jc w:val="center"/>
    </w:pPr>
    <w:rPr>
      <w:rFonts w:ascii="仿宋_GB2312" w:eastAsia="仿宋_GB2312"/>
      <w:szCs w:val="21"/>
    </w:rPr>
  </w:style>
  <w:style w:type="character" w:customStyle="1" w:styleId="104">
    <w:name w:val="表格正文 Char"/>
    <w:link w:val="103"/>
    <w:uiPriority w:val="0"/>
    <w:rPr>
      <w:rFonts w:ascii="仿宋_GB2312" w:hAnsi="Calibri" w:eastAsia="仿宋_GB2312"/>
      <w:kern w:val="2"/>
      <w:sz w:val="21"/>
      <w:szCs w:val="21"/>
    </w:rPr>
  </w:style>
  <w:style w:type="paragraph" w:customStyle="1" w:styleId="105">
    <w:name w:val="表格内文字"/>
    <w:basedOn w:val="1"/>
    <w:link w:val="106"/>
    <w:uiPriority w:val="0"/>
    <w:pPr>
      <w:tabs>
        <w:tab w:val="left" w:pos="0"/>
      </w:tabs>
      <w:adjustRightInd w:val="0"/>
      <w:snapToGrid w:val="0"/>
      <w:jc w:val="center"/>
    </w:pPr>
    <w:rPr>
      <w:rFonts w:eastAsia="仿宋_GB2312"/>
      <w:sz w:val="24"/>
      <w:szCs w:val="24"/>
    </w:rPr>
  </w:style>
  <w:style w:type="character" w:customStyle="1" w:styleId="106">
    <w:name w:val="表格内文字 Char"/>
    <w:link w:val="105"/>
    <w:uiPriority w:val="0"/>
    <w:rPr>
      <w:rFonts w:ascii="Calibri" w:hAnsi="Calibri" w:eastAsia="仿宋_GB2312"/>
      <w:kern w:val="2"/>
      <w:sz w:val="24"/>
      <w:szCs w:val="24"/>
    </w:rPr>
  </w:style>
  <w:style w:type="paragraph" w:customStyle="1" w:styleId="107">
    <w:name w:val="正文加粗lcc"/>
    <w:basedOn w:val="62"/>
    <w:link w:val="251"/>
    <w:uiPriority w:val="0"/>
    <w:rPr>
      <w:b/>
      <w:szCs w:val="22"/>
    </w:rPr>
  </w:style>
  <w:style w:type="paragraph" w:customStyle="1" w:styleId="108">
    <w:name w:val="Body Text 21"/>
    <w:basedOn w:val="1"/>
    <w:uiPriority w:val="0"/>
    <w:pPr>
      <w:adjustRightInd w:val="0"/>
      <w:textAlignment w:val="baseline"/>
    </w:pPr>
    <w:rPr>
      <w:rFonts w:ascii="仿宋_GB2312" w:eastAsia="仿宋体"/>
    </w:rPr>
  </w:style>
  <w:style w:type="table" w:customStyle="1" w:styleId="109">
    <w:name w:val="表格样式1"/>
    <w:basedOn w:val="38"/>
    <w:qFormat/>
    <w:uiPriority w:val="0"/>
    <w:pPr>
      <w:jc w:val="center"/>
    </w:pPr>
    <w:rPr>
      <w:rFonts w:eastAsia="仿宋_GB2312"/>
    </w:rPr>
    <w:tblPr>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left w:w="30" w:type="dxa"/>
        <w:right w:w="30" w:type="dxa"/>
      </w:tblCellMar>
    </w:tblPr>
    <w:trPr>
      <w:jc w:val="center"/>
    </w:trPr>
    <w:tcPr>
      <w:vAlign w:val="center"/>
    </w:tcPr>
    <w:tblStylePr w:type="firstRow">
      <w:rPr>
        <w:rFonts w:ascii="Times New Roman" w:hAnsi="Times New Roman"/>
        <w:b/>
        <w:i w:val="0"/>
        <w:sz w:val="21"/>
      </w:rPr>
      <w:tcPr>
        <w:tcBorders>
          <w:top w:val="single" w:color="auto" w:sz="12" w:space="0"/>
          <w:left w:val="single" w:color="auto" w:sz="4" w:space="0"/>
          <w:bottom w:val="single" w:color="auto" w:sz="12" w:space="0"/>
          <w:right w:val="single" w:color="auto" w:sz="4" w:space="0"/>
          <w:insideH w:val="nil"/>
          <w:insideV w:val="single" w:sz="4" w:space="0"/>
          <w:tl2br w:val="nil"/>
          <w:tr2bl w:val="nil"/>
        </w:tcBorders>
      </w:tcPr>
    </w:tblStylePr>
  </w:style>
  <w:style w:type="paragraph" w:customStyle="1" w:styleId="110">
    <w:name w:val="列表1"/>
    <w:basedOn w:val="1"/>
    <w:uiPriority w:val="0"/>
    <w:pPr>
      <w:spacing w:line="400" w:lineRule="exact"/>
      <w:jc w:val="center"/>
    </w:pPr>
    <w:rPr>
      <w:rFonts w:ascii="宋体" w:hAnsi="宋体"/>
      <w:sz w:val="24"/>
      <w:szCs w:val="20"/>
    </w:rPr>
  </w:style>
  <w:style w:type="character" w:customStyle="1" w:styleId="111">
    <w:name w:val="YY表格正文 字符"/>
    <w:link w:val="112"/>
    <w:uiPriority w:val="0"/>
    <w:rPr>
      <w:color w:val="000000"/>
      <w:szCs w:val="24"/>
    </w:rPr>
  </w:style>
  <w:style w:type="paragraph" w:customStyle="1" w:styleId="112">
    <w:name w:val="YY表格正文"/>
    <w:basedOn w:val="1"/>
    <w:link w:val="111"/>
    <w:uiPriority w:val="0"/>
    <w:pPr>
      <w:tabs>
        <w:tab w:val="left" w:pos="0"/>
      </w:tabs>
      <w:adjustRightInd w:val="0"/>
      <w:snapToGrid w:val="0"/>
      <w:jc w:val="center"/>
    </w:pPr>
    <w:rPr>
      <w:rFonts w:ascii="Times New Roman" w:hAnsi="Times New Roman"/>
      <w:color w:val="000000"/>
      <w:kern w:val="0"/>
      <w:sz w:val="20"/>
      <w:szCs w:val="24"/>
    </w:rPr>
  </w:style>
  <w:style w:type="character" w:customStyle="1" w:styleId="113">
    <w:name w:val="正文首行缩进 字符"/>
    <w:link w:val="36"/>
    <w:qFormat/>
    <w:uiPriority w:val="0"/>
    <w:rPr>
      <w:rFonts w:ascii="Calibri" w:hAnsi="Calibri"/>
      <w:kern w:val="2"/>
      <w:sz w:val="21"/>
      <w:szCs w:val="22"/>
    </w:rPr>
  </w:style>
  <w:style w:type="paragraph" w:customStyle="1" w:styleId="114">
    <w:name w:val="文字"/>
    <w:basedOn w:val="1"/>
    <w:link w:val="115"/>
    <w:uiPriority w:val="0"/>
    <w:pPr>
      <w:spacing w:line="360" w:lineRule="auto"/>
      <w:ind w:firstLine="200" w:firstLineChars="200"/>
    </w:pPr>
    <w:rPr>
      <w:rFonts w:ascii="Times New Roman" w:hAnsi="Times New Roman"/>
      <w:sz w:val="24"/>
      <w:szCs w:val="24"/>
    </w:rPr>
  </w:style>
  <w:style w:type="character" w:customStyle="1" w:styleId="115">
    <w:name w:val="文字 Char"/>
    <w:link w:val="114"/>
    <w:qFormat/>
    <w:uiPriority w:val="0"/>
    <w:rPr>
      <w:kern w:val="2"/>
      <w:sz w:val="24"/>
      <w:szCs w:val="24"/>
    </w:rPr>
  </w:style>
  <w:style w:type="paragraph" w:customStyle="1" w:styleId="116">
    <w:name w:val="图表"/>
    <w:basedOn w:val="29"/>
    <w:link w:val="117"/>
    <w:uiPriority w:val="0"/>
    <w:pPr>
      <w:jc w:val="center"/>
    </w:pPr>
    <w:rPr>
      <w:rFonts w:ascii="Times New Roman" w:hAnsi="Times New Roman"/>
      <w:kern w:val="0"/>
      <w:sz w:val="20"/>
      <w:szCs w:val="20"/>
    </w:rPr>
  </w:style>
  <w:style w:type="character" w:customStyle="1" w:styleId="117">
    <w:name w:val="图表 Char"/>
    <w:link w:val="116"/>
    <w:uiPriority w:val="0"/>
  </w:style>
  <w:style w:type="character" w:customStyle="1" w:styleId="118">
    <w:name w:val="apple-converted-space"/>
    <w:uiPriority w:val="0"/>
  </w:style>
  <w:style w:type="character" w:customStyle="1" w:styleId="119">
    <w:name w:val="1表格 Char"/>
    <w:link w:val="120"/>
    <w:locked/>
    <w:uiPriority w:val="0"/>
    <w:rPr>
      <w:spacing w:val="4"/>
      <w:szCs w:val="24"/>
    </w:rPr>
  </w:style>
  <w:style w:type="paragraph" w:customStyle="1" w:styleId="120">
    <w:name w:val="1表格"/>
    <w:basedOn w:val="1"/>
    <w:link w:val="119"/>
    <w:uiPriority w:val="0"/>
    <w:pPr>
      <w:adjustRightInd w:val="0"/>
      <w:snapToGrid w:val="0"/>
      <w:jc w:val="center"/>
    </w:pPr>
    <w:rPr>
      <w:rFonts w:ascii="Times New Roman" w:hAnsi="Times New Roman"/>
      <w:spacing w:val="4"/>
      <w:kern w:val="0"/>
      <w:sz w:val="20"/>
      <w:szCs w:val="24"/>
    </w:rPr>
  </w:style>
  <w:style w:type="paragraph" w:customStyle="1" w:styleId="121">
    <w:name w:val="111表头"/>
    <w:basedOn w:val="1"/>
    <w:uiPriority w:val="0"/>
    <w:pPr>
      <w:tabs>
        <w:tab w:val="left" w:pos="600"/>
      </w:tabs>
      <w:spacing w:line="400" w:lineRule="exact"/>
      <w:jc w:val="center"/>
    </w:pPr>
    <w:rPr>
      <w:b/>
      <w:kern w:val="0"/>
      <w:sz w:val="24"/>
      <w:szCs w:val="24"/>
    </w:rPr>
  </w:style>
  <w:style w:type="paragraph" w:customStyle="1" w:styleId="122">
    <w:name w:val="111正文"/>
    <w:basedOn w:val="1"/>
    <w:uiPriority w:val="0"/>
    <w:pPr>
      <w:tabs>
        <w:tab w:val="left" w:pos="600"/>
      </w:tabs>
      <w:spacing w:line="360" w:lineRule="auto"/>
      <w:ind w:firstLine="200" w:firstLineChars="200"/>
    </w:pPr>
    <w:rPr>
      <w:kern w:val="0"/>
      <w:sz w:val="24"/>
      <w:szCs w:val="24"/>
    </w:rPr>
  </w:style>
  <w:style w:type="character" w:customStyle="1" w:styleId="123">
    <w:name w:val="标题 2 字符"/>
    <w:semiHidden/>
    <w:uiPriority w:val="9"/>
    <w:rPr>
      <w:rFonts w:ascii="等线 Light" w:hAnsi="等线 Light" w:eastAsia="等线 Light" w:cs="Times New Roman"/>
      <w:b/>
      <w:bCs/>
      <w:kern w:val="2"/>
      <w:sz w:val="32"/>
      <w:szCs w:val="32"/>
    </w:rPr>
  </w:style>
  <w:style w:type="character" w:customStyle="1" w:styleId="124">
    <w:name w:val="标题 4 字符"/>
    <w:semiHidden/>
    <w:uiPriority w:val="9"/>
    <w:rPr>
      <w:rFonts w:ascii="等线 Light" w:hAnsi="等线 Light" w:eastAsia="等线 Light" w:cs="Times New Roman"/>
      <w:b/>
      <w:bCs/>
      <w:kern w:val="2"/>
      <w:sz w:val="28"/>
      <w:szCs w:val="28"/>
    </w:rPr>
  </w:style>
  <w:style w:type="character" w:customStyle="1" w:styleId="125">
    <w:name w:val="标题 5 字符"/>
    <w:semiHidden/>
    <w:uiPriority w:val="9"/>
    <w:rPr>
      <w:rFonts w:ascii="Calibri" w:hAnsi="Calibri"/>
      <w:b/>
      <w:bCs/>
      <w:kern w:val="2"/>
      <w:sz w:val="28"/>
      <w:szCs w:val="28"/>
    </w:rPr>
  </w:style>
  <w:style w:type="character" w:customStyle="1" w:styleId="126">
    <w:name w:val="标题 6 字符"/>
    <w:semiHidden/>
    <w:uiPriority w:val="9"/>
    <w:rPr>
      <w:rFonts w:ascii="等线 Light" w:hAnsi="等线 Light" w:eastAsia="等线 Light" w:cs="Times New Roman"/>
      <w:b/>
      <w:bCs/>
      <w:kern w:val="2"/>
      <w:sz w:val="24"/>
      <w:szCs w:val="24"/>
    </w:rPr>
  </w:style>
  <w:style w:type="character" w:customStyle="1" w:styleId="127">
    <w:name w:val="标题 7 字符"/>
    <w:semiHidden/>
    <w:uiPriority w:val="9"/>
    <w:rPr>
      <w:rFonts w:ascii="Calibri" w:hAnsi="Calibri"/>
      <w:b/>
      <w:bCs/>
      <w:kern w:val="2"/>
      <w:sz w:val="24"/>
      <w:szCs w:val="24"/>
    </w:rPr>
  </w:style>
  <w:style w:type="character" w:customStyle="1" w:styleId="128">
    <w:name w:val="标题 8 字符"/>
    <w:semiHidden/>
    <w:uiPriority w:val="9"/>
    <w:rPr>
      <w:rFonts w:ascii="等线 Light" w:hAnsi="等线 Light" w:eastAsia="等线 Light" w:cs="Times New Roman"/>
      <w:kern w:val="2"/>
      <w:sz w:val="24"/>
      <w:szCs w:val="24"/>
    </w:rPr>
  </w:style>
  <w:style w:type="character" w:customStyle="1" w:styleId="129">
    <w:name w:val="标题 9 字符"/>
    <w:semiHidden/>
    <w:uiPriority w:val="9"/>
    <w:rPr>
      <w:rFonts w:ascii="等线 Light" w:hAnsi="等线 Light" w:eastAsia="等线 Light" w:cs="Times New Roman"/>
      <w:kern w:val="2"/>
      <w:sz w:val="21"/>
      <w:szCs w:val="21"/>
    </w:rPr>
  </w:style>
  <w:style w:type="character" w:customStyle="1" w:styleId="130">
    <w:name w:val="标题 字符"/>
    <w:link w:val="34"/>
    <w:uiPriority w:val="0"/>
    <w:rPr>
      <w:rFonts w:ascii="Cambria" w:hAnsi="Cambria"/>
      <w:b/>
      <w:bCs/>
      <w:kern w:val="2"/>
      <w:sz w:val="32"/>
      <w:szCs w:val="32"/>
    </w:rPr>
  </w:style>
  <w:style w:type="character" w:customStyle="1" w:styleId="131">
    <w:name w:val="正文文本 3 字符"/>
    <w:link w:val="14"/>
    <w:uiPriority w:val="0"/>
    <w:rPr>
      <w:rFonts w:ascii="Calibri" w:hAnsi="Calibri"/>
      <w:kern w:val="2"/>
      <w:sz w:val="15"/>
      <w:szCs w:val="24"/>
    </w:rPr>
  </w:style>
  <w:style w:type="character" w:customStyle="1" w:styleId="132">
    <w:name w:val="日期 字符1"/>
    <w:link w:val="20"/>
    <w:uiPriority w:val="0"/>
    <w:rPr>
      <w:rFonts w:ascii="等线" w:hAnsi="等线" w:eastAsia="仿宋_GB2312"/>
      <w:bCs/>
      <w:kern w:val="2"/>
      <w:sz w:val="28"/>
      <w:szCs w:val="32"/>
    </w:rPr>
  </w:style>
  <w:style w:type="character" w:customStyle="1" w:styleId="133">
    <w:name w:val="日期 字符"/>
    <w:uiPriority w:val="99"/>
    <w:rPr>
      <w:rFonts w:ascii="Calibri" w:hAnsi="Calibri"/>
      <w:kern w:val="2"/>
      <w:sz w:val="21"/>
      <w:szCs w:val="22"/>
    </w:rPr>
  </w:style>
  <w:style w:type="character" w:customStyle="1" w:styleId="134">
    <w:name w:val="正文文本缩进 2 字符1"/>
    <w:link w:val="21"/>
    <w:uiPriority w:val="0"/>
    <w:rPr>
      <w:rFonts w:ascii="等线" w:hAnsi="等线" w:eastAsia="等线"/>
      <w:color w:val="000000"/>
      <w:kern w:val="2"/>
      <w:sz w:val="24"/>
      <w:szCs w:val="22"/>
    </w:rPr>
  </w:style>
  <w:style w:type="character" w:customStyle="1" w:styleId="135">
    <w:name w:val="正文文本缩进 2 字符"/>
    <w:uiPriority w:val="99"/>
    <w:rPr>
      <w:rFonts w:ascii="Calibri" w:hAnsi="Calibri"/>
      <w:kern w:val="2"/>
      <w:sz w:val="21"/>
      <w:szCs w:val="22"/>
    </w:rPr>
  </w:style>
  <w:style w:type="character" w:customStyle="1" w:styleId="136">
    <w:name w:val="HTML 预设格式 字符"/>
    <w:link w:val="32"/>
    <w:uiPriority w:val="0"/>
    <w:rPr>
      <w:rFonts w:ascii="宋体" w:hAnsi="宋体"/>
      <w:sz w:val="24"/>
      <w:szCs w:val="24"/>
    </w:rPr>
  </w:style>
  <w:style w:type="paragraph" w:customStyle="1" w:styleId="137">
    <w:name w:val="_Style 30"/>
    <w:uiPriority w:val="0"/>
    <w:pPr>
      <w:widowControl w:val="0"/>
      <w:jc w:val="both"/>
    </w:pPr>
    <w:rPr>
      <w:rFonts w:ascii="Calibri" w:hAnsi="Calibri" w:eastAsia="宋体" w:cs="Times New Roman"/>
      <w:kern w:val="2"/>
      <w:sz w:val="24"/>
      <w:szCs w:val="24"/>
      <w:lang w:val="en-US" w:eastAsia="zh-CN" w:bidi="ar-SA"/>
    </w:rPr>
  </w:style>
  <w:style w:type="character" w:customStyle="1" w:styleId="138">
    <w:name w:val="正文文本 字符1"/>
    <w:uiPriority w:val="0"/>
    <w:rPr>
      <w:rFonts w:ascii="宋体" w:hAnsi="Calibri"/>
      <w:sz w:val="24"/>
      <w:szCs w:val="24"/>
    </w:rPr>
  </w:style>
  <w:style w:type="character" w:customStyle="1" w:styleId="139">
    <w:name w:val="自查报告 正文 Char"/>
    <w:link w:val="140"/>
    <w:qFormat/>
    <w:uiPriority w:val="0"/>
    <w:rPr>
      <w:rFonts w:eastAsia="仿宋_GB2312"/>
      <w:sz w:val="24"/>
      <w:szCs w:val="24"/>
    </w:rPr>
  </w:style>
  <w:style w:type="paragraph" w:customStyle="1" w:styleId="140">
    <w:name w:val="自查报告 正文"/>
    <w:link w:val="139"/>
    <w:uiPriority w:val="0"/>
    <w:pPr>
      <w:widowControl w:val="0"/>
      <w:spacing w:line="440" w:lineRule="exact"/>
      <w:ind w:firstLine="200" w:firstLineChars="200"/>
      <w:jc w:val="both"/>
    </w:pPr>
    <w:rPr>
      <w:rFonts w:ascii="Times New Roman" w:hAnsi="Times New Roman" w:eastAsia="仿宋_GB2312" w:cs="Times New Roman"/>
      <w:sz w:val="24"/>
      <w:szCs w:val="24"/>
      <w:lang w:val="en-US" w:eastAsia="zh-CN" w:bidi="ar-SA"/>
    </w:rPr>
  </w:style>
  <w:style w:type="character" w:customStyle="1" w:styleId="141">
    <w:name w:val="m_4"/>
    <w:uiPriority w:val="0"/>
  </w:style>
  <w:style w:type="character" w:customStyle="1" w:styleId="142">
    <w:name w:val="正文缩进1"/>
    <w:uiPriority w:val="0"/>
    <w:rPr>
      <w:rFonts w:eastAsia="宋体"/>
      <w:kern w:val="2"/>
      <w:sz w:val="28"/>
      <w:szCs w:val="24"/>
      <w:lang w:val="en-US" w:eastAsia="zh-CN" w:bidi="ar-SA"/>
    </w:rPr>
  </w:style>
  <w:style w:type="character" w:customStyle="1" w:styleId="143">
    <w:name w:val="正文（首行缩进两字） Char C"/>
    <w:uiPriority w:val="0"/>
    <w:rPr>
      <w:rFonts w:ascii="仿宋_GB2312" w:eastAsia="仿宋_GB2312"/>
      <w:color w:val="000000"/>
      <w:kern w:val="2"/>
      <w:sz w:val="28"/>
      <w:szCs w:val="24"/>
      <w:lang w:val="en-US" w:eastAsia="zh-CN" w:bidi="ar-SA"/>
    </w:rPr>
  </w:style>
  <w:style w:type="character" w:customStyle="1" w:styleId="144">
    <w:name w:val="正文（首行缩进两字） Char3"/>
    <w:uiPriority w:val="0"/>
    <w:rPr>
      <w:rFonts w:eastAsia="宋体"/>
      <w:kern w:val="2"/>
      <w:sz w:val="21"/>
      <w:szCs w:val="24"/>
      <w:lang w:val="en-US" w:eastAsia="zh-CN" w:bidi="ar-SA"/>
    </w:rPr>
  </w:style>
  <w:style w:type="character" w:customStyle="1" w:styleId="145">
    <w:name w:val="正文（首行缩进两字） Char Char Char Char"/>
    <w:uiPriority w:val="0"/>
    <w:rPr>
      <w:rFonts w:eastAsia="宋体"/>
      <w:kern w:val="2"/>
      <w:sz w:val="28"/>
      <w:szCs w:val="24"/>
      <w:lang w:val="en-US" w:eastAsia="zh-CN" w:bidi="ar-SA"/>
    </w:rPr>
  </w:style>
  <w:style w:type="character" w:customStyle="1" w:styleId="146">
    <w:name w:val="m_47"/>
    <w:uiPriority w:val="0"/>
  </w:style>
  <w:style w:type="character" w:customStyle="1" w:styleId="147">
    <w:name w:val="文档结构图 字符1"/>
    <w:uiPriority w:val="0"/>
    <w:rPr>
      <w:rFonts w:ascii="宋体" w:hAnsi="Calibri"/>
      <w:sz w:val="18"/>
      <w:szCs w:val="18"/>
    </w:rPr>
  </w:style>
  <w:style w:type="character" w:customStyle="1" w:styleId="148">
    <w:name w:val="批注框文本 字符1"/>
    <w:uiPriority w:val="0"/>
    <w:rPr>
      <w:rFonts w:ascii="Calibri" w:hAnsi="Calibri"/>
      <w:sz w:val="18"/>
      <w:szCs w:val="18"/>
    </w:rPr>
  </w:style>
  <w:style w:type="character" w:customStyle="1" w:styleId="149">
    <w:name w:val="页脚 Char"/>
    <w:uiPriority w:val="99"/>
    <w:rPr>
      <w:rFonts w:ascii="Calibri" w:hAnsi="Calibri"/>
      <w:kern w:val="2"/>
      <w:sz w:val="18"/>
      <w:szCs w:val="18"/>
    </w:rPr>
  </w:style>
  <w:style w:type="character" w:customStyle="1" w:styleId="150">
    <w:name w:val="批注文字 Char"/>
    <w:uiPriority w:val="0"/>
    <w:rPr>
      <w:rFonts w:ascii="Calibri" w:hAnsi="Calibri"/>
      <w:kern w:val="2"/>
      <w:sz w:val="21"/>
      <w:szCs w:val="24"/>
    </w:rPr>
  </w:style>
  <w:style w:type="character" w:customStyle="1" w:styleId="151">
    <w:name w:val="正文（首行缩进两字） Char Char Char Char Char Char Char"/>
    <w:uiPriority w:val="0"/>
    <w:rPr>
      <w:rFonts w:ascii="仿宋_GB2312" w:eastAsia="仿宋_GB2312"/>
      <w:color w:val="000000"/>
      <w:kern w:val="2"/>
      <w:sz w:val="28"/>
      <w:szCs w:val="24"/>
      <w:lang w:val="en-US" w:eastAsia="zh-CN" w:bidi="ar-SA"/>
    </w:rPr>
  </w:style>
  <w:style w:type="character" w:customStyle="1" w:styleId="152">
    <w:name w:val="aar_9ptcopy1"/>
    <w:uiPriority w:val="0"/>
    <w:rPr>
      <w:rFonts w:hint="default" w:ascii="ˎ̥" w:hAnsi="ˎ̥"/>
      <w:sz w:val="18"/>
      <w:szCs w:val="18"/>
    </w:rPr>
  </w:style>
  <w:style w:type="character" w:customStyle="1" w:styleId="153">
    <w:name w:val="医疗商务网www.ylsw.netwl1gkf8lml598imdjyud"/>
    <w:uiPriority w:val="0"/>
  </w:style>
  <w:style w:type="character" w:customStyle="1" w:styleId="154">
    <w:name w:val="m_41"/>
    <w:uiPriority w:val="0"/>
  </w:style>
  <w:style w:type="character" w:customStyle="1" w:styleId="155">
    <w:name w:val="m_16"/>
    <w:uiPriority w:val="0"/>
  </w:style>
  <w:style w:type="character" w:customStyle="1" w:styleId="156">
    <w:name w:val="m_9"/>
    <w:uiPriority w:val="0"/>
  </w:style>
  <w:style w:type="character" w:customStyle="1" w:styleId="157">
    <w:name w:val="正文（首行缩进两字） Char C Char Char Char Char Char Char"/>
    <w:uiPriority w:val="0"/>
    <w:rPr>
      <w:rFonts w:eastAsia="宋体"/>
      <w:kern w:val="2"/>
      <w:sz w:val="28"/>
      <w:szCs w:val="24"/>
      <w:lang w:val="en-US" w:eastAsia="zh-CN" w:bidi="ar-SA"/>
    </w:rPr>
  </w:style>
  <w:style w:type="character" w:customStyle="1" w:styleId="158">
    <w:name w:val="批注主题 字符1"/>
    <w:uiPriority w:val="0"/>
    <w:rPr>
      <w:rFonts w:ascii="Calibri" w:hAnsi="Calibri"/>
      <w:b/>
      <w:bCs/>
      <w:szCs w:val="24"/>
    </w:rPr>
  </w:style>
  <w:style w:type="character" w:customStyle="1" w:styleId="159">
    <w:name w:val="m_30"/>
    <w:uiPriority w:val="0"/>
  </w:style>
  <w:style w:type="character" w:customStyle="1" w:styleId="160">
    <w:name w:val="m_3"/>
    <w:uiPriority w:val="0"/>
  </w:style>
  <w:style w:type="character" w:customStyle="1" w:styleId="161">
    <w:name w:val="m_37"/>
    <w:uiPriority w:val="0"/>
  </w:style>
  <w:style w:type="character" w:customStyle="1" w:styleId="162">
    <w:name w:val="m_31"/>
    <w:uiPriority w:val="0"/>
  </w:style>
  <w:style w:type="character" w:customStyle="1" w:styleId="163">
    <w:name w:val="m_11"/>
    <w:uiPriority w:val="0"/>
  </w:style>
  <w:style w:type="character" w:customStyle="1" w:styleId="164">
    <w:name w:val="m_22"/>
    <w:uiPriority w:val="0"/>
  </w:style>
  <w:style w:type="character" w:customStyle="1" w:styleId="165">
    <w:name w:val="m_35"/>
    <w:uiPriority w:val="0"/>
  </w:style>
  <w:style w:type="character" w:customStyle="1" w:styleId="166">
    <w:name w:val="rf"/>
    <w:uiPriority w:val="0"/>
  </w:style>
  <w:style w:type="character" w:customStyle="1" w:styleId="167">
    <w:name w:val="表 Char"/>
    <w:link w:val="168"/>
    <w:qFormat/>
    <w:uiPriority w:val="0"/>
  </w:style>
  <w:style w:type="paragraph" w:customStyle="1" w:styleId="168">
    <w:name w:val="表"/>
    <w:basedOn w:val="1"/>
    <w:link w:val="167"/>
    <w:uiPriority w:val="0"/>
    <w:pPr>
      <w:snapToGrid w:val="0"/>
      <w:jc w:val="center"/>
    </w:pPr>
    <w:rPr>
      <w:rFonts w:ascii="Times New Roman" w:hAnsi="Times New Roman"/>
      <w:kern w:val="0"/>
      <w:sz w:val="20"/>
      <w:szCs w:val="20"/>
    </w:rPr>
  </w:style>
  <w:style w:type="character" w:customStyle="1" w:styleId="169">
    <w:name w:val="正文缩进 Char"/>
    <w:uiPriority w:val="0"/>
    <w:rPr>
      <w:rFonts w:eastAsia="宋体"/>
      <w:kern w:val="24"/>
      <w:sz w:val="24"/>
      <w:lang w:val="en-US" w:eastAsia="zh-CN" w:bidi="ar-SA"/>
    </w:rPr>
  </w:style>
  <w:style w:type="character" w:customStyle="1" w:styleId="170">
    <w:name w:val="表格文字正文 Char"/>
    <w:link w:val="171"/>
    <w:uiPriority w:val="0"/>
    <w:rPr>
      <w:rFonts w:ascii="宋体"/>
      <w:sz w:val="24"/>
      <w:szCs w:val="24"/>
    </w:rPr>
  </w:style>
  <w:style w:type="paragraph" w:customStyle="1" w:styleId="171">
    <w:name w:val="表格文字正文"/>
    <w:basedOn w:val="1"/>
    <w:next w:val="1"/>
    <w:link w:val="170"/>
    <w:uiPriority w:val="0"/>
    <w:pPr>
      <w:jc w:val="center"/>
    </w:pPr>
    <w:rPr>
      <w:rFonts w:ascii="宋体" w:hAnsi="Times New Roman"/>
      <w:kern w:val="0"/>
      <w:sz w:val="24"/>
      <w:szCs w:val="24"/>
    </w:rPr>
  </w:style>
  <w:style w:type="character" w:customStyle="1" w:styleId="172">
    <w:name w:val="表格文字5号 Char Char"/>
    <w:link w:val="173"/>
    <w:uiPriority w:val="0"/>
    <w:rPr>
      <w:rFonts w:ascii="宋体"/>
      <w:szCs w:val="24"/>
    </w:rPr>
  </w:style>
  <w:style w:type="paragraph" w:customStyle="1" w:styleId="173">
    <w:name w:val="表格文字5号"/>
    <w:basedOn w:val="1"/>
    <w:next w:val="1"/>
    <w:link w:val="172"/>
    <w:uiPriority w:val="0"/>
    <w:pPr>
      <w:jc w:val="center"/>
    </w:pPr>
    <w:rPr>
      <w:rFonts w:ascii="宋体" w:hAnsi="Times New Roman"/>
      <w:kern w:val="0"/>
      <w:sz w:val="20"/>
      <w:szCs w:val="24"/>
    </w:rPr>
  </w:style>
  <w:style w:type="character" w:customStyle="1" w:styleId="174">
    <w:name w:val="表内容 Char"/>
    <w:link w:val="175"/>
    <w:uiPriority w:val="0"/>
  </w:style>
  <w:style w:type="paragraph" w:customStyle="1" w:styleId="175">
    <w:name w:val="表内容"/>
    <w:basedOn w:val="1"/>
    <w:next w:val="1"/>
    <w:link w:val="174"/>
    <w:uiPriority w:val="0"/>
    <w:pPr>
      <w:spacing w:line="320" w:lineRule="exact"/>
      <w:jc w:val="center"/>
    </w:pPr>
    <w:rPr>
      <w:rFonts w:ascii="Times New Roman" w:hAnsi="Times New Roman"/>
      <w:kern w:val="0"/>
      <w:sz w:val="20"/>
      <w:szCs w:val="20"/>
    </w:rPr>
  </w:style>
  <w:style w:type="character" w:customStyle="1" w:styleId="176">
    <w:name w:val="title13"/>
    <w:uiPriority w:val="0"/>
  </w:style>
  <w:style w:type="character" w:customStyle="1" w:styleId="177">
    <w:name w:val="back121"/>
    <w:qFormat/>
    <w:uiPriority w:val="0"/>
    <w:rPr>
      <w:rFonts w:hint="default" w:ascii="Arial" w:hAnsi="Arial" w:cs="Arial"/>
      <w:color w:val="000000"/>
      <w:sz w:val="21"/>
      <w:szCs w:val="21"/>
    </w:rPr>
  </w:style>
  <w:style w:type="character" w:customStyle="1" w:styleId="178">
    <w:name w:val="正文文本缩进 Char"/>
    <w:qFormat/>
    <w:uiPriority w:val="0"/>
    <w:rPr>
      <w:kern w:val="2"/>
      <w:sz w:val="24"/>
    </w:rPr>
  </w:style>
  <w:style w:type="character" w:customStyle="1" w:styleId="179">
    <w:name w:val="apple-style-span"/>
    <w:uiPriority w:val="0"/>
  </w:style>
  <w:style w:type="character" w:customStyle="1" w:styleId="180">
    <w:name w:val="表格文字 Char Char"/>
    <w:uiPriority w:val="99"/>
    <w:rPr>
      <w:rFonts w:ascii="仿宋_GB2312" w:hAnsi="Arial Black" w:eastAsia="仿宋_GB2312"/>
      <w:kern w:val="44"/>
      <w:sz w:val="24"/>
      <w:lang w:val="en-US" w:eastAsia="zh-CN" w:bidi="ar-SA"/>
    </w:rPr>
  </w:style>
  <w:style w:type="character" w:customStyle="1" w:styleId="181">
    <w:name w:val="YY正文 字符"/>
    <w:link w:val="182"/>
    <w:uiPriority w:val="0"/>
    <w:rPr>
      <w:sz w:val="24"/>
      <w:szCs w:val="24"/>
      <w:lang w:val="zh-CN"/>
    </w:rPr>
  </w:style>
  <w:style w:type="paragraph" w:customStyle="1" w:styleId="182">
    <w:name w:val="YY正文"/>
    <w:basedOn w:val="1"/>
    <w:link w:val="181"/>
    <w:uiPriority w:val="0"/>
    <w:pPr>
      <w:adjustRightInd w:val="0"/>
      <w:snapToGrid w:val="0"/>
      <w:spacing w:line="360" w:lineRule="auto"/>
      <w:ind w:firstLine="200" w:firstLineChars="200"/>
    </w:pPr>
    <w:rPr>
      <w:rFonts w:ascii="Times New Roman" w:hAnsi="Times New Roman"/>
      <w:kern w:val="0"/>
      <w:sz w:val="24"/>
      <w:szCs w:val="24"/>
      <w:lang w:val="zh-CN"/>
    </w:rPr>
  </w:style>
  <w:style w:type="character" w:customStyle="1" w:styleId="183">
    <w:name w:val="YY表头 字符"/>
    <w:link w:val="184"/>
    <w:uiPriority w:val="0"/>
    <w:rPr>
      <w:b/>
      <w:bCs/>
      <w:sz w:val="24"/>
    </w:rPr>
  </w:style>
  <w:style w:type="paragraph" w:customStyle="1" w:styleId="184">
    <w:name w:val="YY表头"/>
    <w:basedOn w:val="1"/>
    <w:link w:val="183"/>
    <w:uiPriority w:val="0"/>
    <w:pPr>
      <w:adjustRightInd w:val="0"/>
      <w:snapToGrid w:val="0"/>
      <w:spacing w:line="324" w:lineRule="auto"/>
      <w:jc w:val="center"/>
    </w:pPr>
    <w:rPr>
      <w:rFonts w:ascii="Times New Roman" w:hAnsi="Times New Roman"/>
      <w:b/>
      <w:bCs/>
      <w:kern w:val="0"/>
      <w:sz w:val="24"/>
      <w:szCs w:val="20"/>
    </w:rPr>
  </w:style>
  <w:style w:type="character" w:customStyle="1" w:styleId="185">
    <w:name w:val="5级标题 Char"/>
    <w:link w:val="186"/>
    <w:uiPriority w:val="0"/>
    <w:rPr>
      <w:sz w:val="24"/>
    </w:rPr>
  </w:style>
  <w:style w:type="paragraph" w:customStyle="1" w:styleId="186">
    <w:name w:val="5级标题"/>
    <w:basedOn w:val="1"/>
    <w:link w:val="185"/>
    <w:uiPriority w:val="0"/>
    <w:pPr>
      <w:spacing w:line="360" w:lineRule="auto"/>
      <w:jc w:val="left"/>
    </w:pPr>
    <w:rPr>
      <w:rFonts w:ascii="Times New Roman" w:hAnsi="Times New Roman"/>
      <w:kern w:val="0"/>
      <w:sz w:val="24"/>
      <w:szCs w:val="20"/>
    </w:rPr>
  </w:style>
  <w:style w:type="character" w:customStyle="1" w:styleId="187">
    <w:name w:val="表格内容 Char1"/>
    <w:link w:val="188"/>
    <w:locked/>
    <w:uiPriority w:val="99"/>
    <w:rPr>
      <w:rFonts w:ascii="Arial" w:hAnsi="Arial" w:eastAsia="仿宋_GB2312" w:cs="Arial"/>
      <w:sz w:val="24"/>
      <w:szCs w:val="24"/>
    </w:rPr>
  </w:style>
  <w:style w:type="paragraph" w:customStyle="1" w:styleId="188">
    <w:name w:val="表格内容"/>
    <w:basedOn w:val="1"/>
    <w:link w:val="187"/>
    <w:uiPriority w:val="99"/>
    <w:pPr>
      <w:overflowPunct w:val="0"/>
      <w:adjustRightInd w:val="0"/>
      <w:spacing w:before="40" w:after="60" w:line="200" w:lineRule="atLeast"/>
      <w:textAlignment w:val="baseline"/>
    </w:pPr>
    <w:rPr>
      <w:rFonts w:ascii="Arial" w:hAnsi="Arial" w:eastAsia="仿宋_GB2312" w:cs="Arial"/>
      <w:kern w:val="0"/>
      <w:sz w:val="24"/>
      <w:szCs w:val="24"/>
    </w:rPr>
  </w:style>
  <w:style w:type="paragraph" w:customStyle="1" w:styleId="189">
    <w:name w:val="reader-word-lay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90">
    <w:name w:val="Char Char Char1 Char Char Char Char Char Char Char Char Char Char Char Char Char"/>
    <w:basedOn w:val="1"/>
    <w:qFormat/>
    <w:uiPriority w:val="0"/>
    <w:rPr>
      <w:rFonts w:ascii="Times New Roman" w:hAnsi="Times New Roman"/>
      <w:sz w:val="24"/>
      <w:szCs w:val="24"/>
    </w:rPr>
  </w:style>
  <w:style w:type="paragraph" w:customStyle="1" w:styleId="191">
    <w:name w:val="1 Char Char Char"/>
    <w:basedOn w:val="1"/>
    <w:uiPriority w:val="0"/>
    <w:rPr>
      <w:rFonts w:ascii="Times New Roman" w:hAnsi="Times New Roman"/>
      <w:sz w:val="24"/>
      <w:szCs w:val="24"/>
    </w:rPr>
  </w:style>
  <w:style w:type="paragraph" w:customStyle="1" w:styleId="192">
    <w:name w:val="xl2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1"/>
    </w:rPr>
  </w:style>
  <w:style w:type="paragraph" w:customStyle="1" w:styleId="193">
    <w:name w:val="无间隔2"/>
    <w:uiPriority w:val="99"/>
    <w:pPr>
      <w:widowControl w:val="0"/>
      <w:jc w:val="center"/>
    </w:pPr>
    <w:rPr>
      <w:rFonts w:ascii="宋体" w:hAnsi="Courier New" w:eastAsia="仿宋_GB2312" w:cs="Times New Roman"/>
      <w:kern w:val="2"/>
      <w:sz w:val="24"/>
      <w:szCs w:val="22"/>
      <w:lang w:val="en-US" w:eastAsia="zh-CN" w:bidi="ar-SA"/>
    </w:rPr>
  </w:style>
  <w:style w:type="paragraph" w:customStyle="1" w:styleId="194">
    <w:name w:val="无间隔111"/>
    <w:qFormat/>
    <w:uiPriority w:val="0"/>
    <w:pPr>
      <w:widowControl w:val="0"/>
    </w:pPr>
    <w:rPr>
      <w:rFonts w:ascii="宋体" w:hAnsi="Courier New" w:eastAsia="仿宋_GB2312" w:cs="Times New Roman"/>
      <w:kern w:val="2"/>
      <w:sz w:val="24"/>
      <w:szCs w:val="22"/>
      <w:lang w:val="en-US" w:eastAsia="zh-CN" w:bidi="ar-SA"/>
    </w:rPr>
  </w:style>
  <w:style w:type="paragraph" w:customStyle="1" w:styleId="195">
    <w:name w:val="表格标题新"/>
    <w:basedOn w:val="1"/>
    <w:uiPriority w:val="99"/>
    <w:pPr>
      <w:tabs>
        <w:tab w:val="left" w:pos="0"/>
      </w:tabs>
      <w:adjustRightInd w:val="0"/>
      <w:spacing w:beforeLines="50"/>
      <w:ind w:firstLine="562"/>
      <w:jc w:val="center"/>
    </w:pPr>
    <w:rPr>
      <w:rFonts w:ascii="仿宋_GB2312" w:hAnsi="Times New Roman" w:eastAsia="黑体"/>
      <w:b/>
      <w:snapToGrid w:val="0"/>
      <w:spacing w:val="4"/>
      <w:kern w:val="0"/>
      <w:sz w:val="24"/>
      <w:szCs w:val="24"/>
    </w:rPr>
  </w:style>
  <w:style w:type="paragraph" w:customStyle="1" w:styleId="196">
    <w:name w:val="_Style 2"/>
    <w:uiPriority w:val="99"/>
    <w:pPr>
      <w:widowControl w:val="0"/>
      <w:jc w:val="center"/>
    </w:pPr>
    <w:rPr>
      <w:rFonts w:ascii="宋体" w:hAnsi="Courier New" w:eastAsia="仿宋_GB2312" w:cs="Times New Roman"/>
      <w:kern w:val="2"/>
      <w:sz w:val="24"/>
      <w:szCs w:val="22"/>
      <w:lang w:val="en-US" w:eastAsia="zh-CN" w:bidi="ar-SA"/>
    </w:rPr>
  </w:style>
  <w:style w:type="paragraph" w:customStyle="1" w:styleId="197">
    <w:name w:val="常用正文样式"/>
    <w:basedOn w:val="1"/>
    <w:uiPriority w:val="0"/>
    <w:pPr>
      <w:spacing w:line="360" w:lineRule="auto"/>
      <w:ind w:firstLine="480" w:firstLineChars="200"/>
    </w:pPr>
    <w:rPr>
      <w:rFonts w:ascii="宋体" w:hAnsi="宋体" w:eastAsia="仿宋" w:cs="宋体"/>
      <w:bCs/>
      <w:kern w:val="28"/>
      <w:sz w:val="28"/>
      <w:szCs w:val="24"/>
    </w:rPr>
  </w:style>
  <w:style w:type="paragraph" w:customStyle="1" w:styleId="198">
    <w:name w:val="Char Char1"/>
    <w:basedOn w:val="1"/>
    <w:uiPriority w:val="0"/>
    <w:rPr>
      <w:rFonts w:ascii="Times New Roman" w:hAnsi="Times New Roman"/>
      <w:szCs w:val="24"/>
    </w:rPr>
  </w:style>
  <w:style w:type="paragraph" w:customStyle="1" w:styleId="199">
    <w:name w:val="图目"/>
    <w:basedOn w:val="1"/>
    <w:uiPriority w:val="0"/>
    <w:pPr>
      <w:spacing w:line="240" w:lineRule="atLeast"/>
      <w:jc w:val="center"/>
    </w:pPr>
    <w:rPr>
      <w:rFonts w:ascii="Times New Roman" w:hAnsi="Times New Roman"/>
      <w:sz w:val="24"/>
      <w:szCs w:val="24"/>
    </w:rPr>
  </w:style>
  <w:style w:type="paragraph" w:customStyle="1" w:styleId="200">
    <w:name w:val="默认段落字体 Para Char Char Char1 Char Char Char1 Char"/>
    <w:basedOn w:val="1"/>
    <w:uiPriority w:val="0"/>
    <w:rPr>
      <w:rFonts w:ascii="Times New Roman" w:hAnsi="Times New Roman"/>
      <w:sz w:val="24"/>
      <w:szCs w:val="24"/>
    </w:rPr>
  </w:style>
  <w:style w:type="paragraph" w:customStyle="1" w:styleId="201">
    <w:name w:val="xl23"/>
    <w:basedOn w:val="1"/>
    <w:qFormat/>
    <w:uiPriority w:val="99"/>
    <w:pPr>
      <w:widowControl/>
      <w:spacing w:before="100" w:beforeAutospacing="1" w:after="100" w:afterAutospacing="1"/>
      <w:jc w:val="center"/>
    </w:pPr>
    <w:rPr>
      <w:rFonts w:ascii="Arial Unicode MS" w:hAnsi="Arial Unicode MS"/>
      <w:kern w:val="0"/>
      <w:sz w:val="24"/>
      <w:szCs w:val="24"/>
    </w:rPr>
  </w:style>
  <w:style w:type="paragraph" w:customStyle="1" w:styleId="202">
    <w:name w:val="正文文本缩进1"/>
    <w:basedOn w:val="1"/>
    <w:qFormat/>
    <w:uiPriority w:val="0"/>
    <w:pPr>
      <w:spacing w:line="360" w:lineRule="auto"/>
      <w:ind w:firstLine="480"/>
    </w:pPr>
    <w:rPr>
      <w:rFonts w:hint="eastAsia" w:ascii="Times New Roman" w:hAnsi="Times New Roman"/>
      <w:sz w:val="24"/>
      <w:szCs w:val="20"/>
    </w:rPr>
  </w:style>
  <w:style w:type="paragraph" w:customStyle="1" w:styleId="203">
    <w:name w:val="Char"/>
    <w:basedOn w:val="1"/>
    <w:uiPriority w:val="0"/>
    <w:rPr>
      <w:rFonts w:ascii="Times New Roman" w:hAnsi="Times New Roman"/>
      <w:sz w:val="24"/>
      <w:szCs w:val="24"/>
    </w:rPr>
  </w:style>
  <w:style w:type="paragraph" w:customStyle="1" w:styleId="204">
    <w:name w:val="无间隔11"/>
    <w:uiPriority w:val="0"/>
    <w:pPr>
      <w:widowControl w:val="0"/>
    </w:pPr>
    <w:rPr>
      <w:rFonts w:ascii="宋体" w:hAnsi="Courier New" w:eastAsia="仿宋_GB2312" w:cs="Times New Roman"/>
      <w:kern w:val="2"/>
      <w:sz w:val="24"/>
      <w:szCs w:val="22"/>
      <w:lang w:val="en-US" w:eastAsia="zh-CN" w:bidi="ar-SA"/>
    </w:rPr>
  </w:style>
  <w:style w:type="paragraph" w:customStyle="1" w:styleId="205">
    <w:name w:val="默认段落字体 Para Char Char Char Char Char Char Char"/>
    <w:basedOn w:val="1"/>
    <w:uiPriority w:val="0"/>
    <w:rPr>
      <w:rFonts w:ascii="Times New Roman" w:hAnsi="Times New Roman"/>
      <w:sz w:val="24"/>
      <w:szCs w:val="24"/>
    </w:rPr>
  </w:style>
  <w:style w:type="paragraph" w:customStyle="1" w:styleId="206">
    <w:name w:val="无间隔1"/>
    <w:uiPriority w:val="0"/>
    <w:pPr>
      <w:widowControl w:val="0"/>
      <w:jc w:val="center"/>
    </w:pPr>
    <w:rPr>
      <w:rFonts w:ascii="宋体" w:hAnsi="Courier New" w:eastAsia="仿宋_GB2312" w:cs="Times New Roman"/>
      <w:kern w:val="2"/>
      <w:sz w:val="24"/>
      <w:szCs w:val="22"/>
      <w:lang w:val="en-US" w:eastAsia="zh-CN" w:bidi="ar-SA"/>
    </w:rPr>
  </w:style>
  <w:style w:type="paragraph" w:customStyle="1" w:styleId="207">
    <w:name w:val="xl28"/>
    <w:basedOn w:val="1"/>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sz w:val="24"/>
      <w:szCs w:val="21"/>
    </w:rPr>
  </w:style>
  <w:style w:type="paragraph" w:customStyle="1" w:styleId="208">
    <w:name w:val="reader-word-layer reader-word-s10-6"/>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09">
    <w:name w:val="题注1"/>
    <w:basedOn w:val="1"/>
    <w:next w:val="1"/>
    <w:uiPriority w:val="99"/>
    <w:pPr>
      <w:jc w:val="center"/>
    </w:pPr>
    <w:rPr>
      <w:rFonts w:ascii="Cambria" w:hAnsi="Cambria"/>
      <w:b/>
      <w:sz w:val="24"/>
      <w:szCs w:val="24"/>
    </w:rPr>
  </w:style>
  <w:style w:type="paragraph" w:customStyle="1" w:styleId="210">
    <w:name w:val="无间隔12"/>
    <w:qFormat/>
    <w:uiPriority w:val="0"/>
    <w:pPr>
      <w:widowControl w:val="0"/>
      <w:jc w:val="center"/>
    </w:pPr>
    <w:rPr>
      <w:rFonts w:ascii="宋体" w:hAnsi="Courier New" w:eastAsia="仿宋_GB2312" w:cs="Times New Roman"/>
      <w:kern w:val="2"/>
      <w:sz w:val="24"/>
      <w:szCs w:val="22"/>
      <w:lang w:val="en-US" w:eastAsia="zh-CN" w:bidi="ar-SA"/>
    </w:rPr>
  </w:style>
  <w:style w:type="paragraph" w:customStyle="1" w:styleId="211">
    <w:name w:val="表中字"/>
    <w:basedOn w:val="1"/>
    <w:uiPriority w:val="0"/>
    <w:pPr>
      <w:spacing w:line="240" w:lineRule="atLeast"/>
      <w:jc w:val="center"/>
    </w:pPr>
    <w:rPr>
      <w:sz w:val="24"/>
      <w:lang w:val="zh-CN"/>
    </w:rPr>
  </w:style>
  <w:style w:type="paragraph" w:customStyle="1" w:styleId="212">
    <w:name w:val="图文框"/>
    <w:basedOn w:val="1"/>
    <w:uiPriority w:val="0"/>
    <w:pPr>
      <w:ind w:firstLine="210"/>
      <w:jc w:val="center"/>
    </w:pPr>
    <w:rPr>
      <w:rFonts w:ascii="宋体" w:hAnsi="宋体"/>
      <w:szCs w:val="21"/>
    </w:rPr>
  </w:style>
  <w:style w:type="paragraph" w:customStyle="1" w:styleId="213">
    <w:name w:val="彩色底纹 - 着色 11"/>
    <w:unhideWhenUsed/>
    <w:uiPriority w:val="99"/>
    <w:rPr>
      <w:rFonts w:ascii="Calibri" w:hAnsi="Calibri" w:eastAsia="宋体" w:cs="Times New Roman"/>
      <w:kern w:val="2"/>
      <w:sz w:val="21"/>
      <w:szCs w:val="24"/>
      <w:lang w:val="en-US" w:eastAsia="zh-CN" w:bidi="ar-SA"/>
    </w:rPr>
  </w:style>
  <w:style w:type="paragraph" w:customStyle="1" w:styleId="214">
    <w:name w:val="样式4"/>
    <w:basedOn w:val="2"/>
    <w:uiPriority w:val="0"/>
    <w:pPr>
      <w:keepNext w:val="0"/>
      <w:keepLines w:val="0"/>
      <w:tabs>
        <w:tab w:val="left" w:pos="890"/>
        <w:tab w:val="clear" w:pos="720"/>
      </w:tabs>
      <w:adjustRightInd w:val="0"/>
      <w:snapToGrid w:val="0"/>
      <w:spacing w:before="240" w:beforeLines="50" w:after="0" w:line="360" w:lineRule="auto"/>
      <w:ind w:left="890" w:hanging="890"/>
    </w:pPr>
    <w:rPr>
      <w:rFonts w:ascii="仿宋_GB2312" w:hAnsi="Times New Roman" w:eastAsia="仿宋_GB2312"/>
      <w:bCs w:val="0"/>
      <w:snapToGrid w:val="0"/>
      <w:sz w:val="30"/>
    </w:rPr>
  </w:style>
  <w:style w:type="paragraph" w:customStyle="1" w:styleId="215">
    <w:name w:val="2"/>
    <w:basedOn w:val="1"/>
    <w:next w:val="28"/>
    <w:uiPriority w:val="0"/>
    <w:pPr>
      <w:tabs>
        <w:tab w:val="left" w:pos="604"/>
      </w:tabs>
      <w:spacing w:line="360" w:lineRule="auto"/>
      <w:ind w:firstLine="600"/>
    </w:pPr>
    <w:rPr>
      <w:rFonts w:ascii="Times New Roman" w:hAnsi="Times New Roman"/>
      <w:sz w:val="24"/>
      <w:szCs w:val="24"/>
    </w:rPr>
  </w:style>
  <w:style w:type="paragraph" w:customStyle="1" w:styleId="216">
    <w:name w:val="1"/>
    <w:basedOn w:val="1"/>
    <w:next w:val="11"/>
    <w:uiPriority w:val="0"/>
    <w:pPr>
      <w:ind w:firstLine="200" w:firstLineChars="200"/>
    </w:pPr>
    <w:rPr>
      <w:rFonts w:ascii="Times New Roman" w:hAnsi="Times New Roman"/>
      <w:sz w:val="28"/>
      <w:szCs w:val="24"/>
    </w:rPr>
  </w:style>
  <w:style w:type="paragraph" w:customStyle="1" w:styleId="217">
    <w:name w:val="表格5号"/>
    <w:basedOn w:val="1"/>
    <w:next w:val="1"/>
    <w:uiPriority w:val="0"/>
    <w:pPr>
      <w:snapToGrid w:val="0"/>
      <w:jc w:val="center"/>
    </w:pPr>
    <w:rPr>
      <w:rFonts w:ascii="宋体" w:hAnsi="宋体"/>
      <w:kern w:val="24"/>
      <w:sz w:val="18"/>
      <w:szCs w:val="18"/>
    </w:rPr>
  </w:style>
  <w:style w:type="paragraph" w:customStyle="1" w:styleId="218">
    <w:name w:val="1 Char Char Char Char Char"/>
    <w:basedOn w:val="1"/>
    <w:uiPriority w:val="0"/>
    <w:rPr>
      <w:rFonts w:ascii="Times New Roman" w:hAnsi="Times New Roman"/>
      <w:sz w:val="24"/>
      <w:szCs w:val="24"/>
    </w:rPr>
  </w:style>
  <w:style w:type="paragraph" w:customStyle="1" w:styleId="219">
    <w:name w:val="6"/>
    <w:basedOn w:val="1"/>
    <w:next w:val="31"/>
    <w:uiPriority w:val="0"/>
    <w:pPr>
      <w:spacing w:after="120" w:line="480" w:lineRule="auto"/>
    </w:pPr>
    <w:rPr>
      <w:rFonts w:ascii="Times New Roman" w:hAnsi="Times New Roman"/>
      <w:szCs w:val="24"/>
    </w:rPr>
  </w:style>
  <w:style w:type="paragraph" w:customStyle="1" w:styleId="220">
    <w:name w:val="3"/>
    <w:basedOn w:val="1"/>
    <w:next w:val="18"/>
    <w:uiPriority w:val="0"/>
    <w:pPr>
      <w:adjustRightInd w:val="0"/>
      <w:snapToGrid w:val="0"/>
      <w:spacing w:after="120" w:line="312" w:lineRule="auto"/>
      <w:ind w:left="1440" w:leftChars="700" w:right="1440" w:rightChars="700"/>
    </w:pPr>
    <w:rPr>
      <w:rFonts w:ascii="仿宋_GB2312" w:hAnsi="Times New Roman" w:eastAsia="仿宋_GB2312"/>
      <w:sz w:val="28"/>
      <w:szCs w:val="24"/>
    </w:rPr>
  </w:style>
  <w:style w:type="paragraph" w:customStyle="1" w:styleId="221">
    <w:name w:val="默认段落字体 Para Char Char Char Char Char Char1 Char Char Char Char Char Char Char Char Char"/>
    <w:basedOn w:val="1"/>
    <w:uiPriority w:val="0"/>
    <w:rPr>
      <w:rFonts w:ascii="Times New Roman" w:hAnsi="Times New Roman"/>
      <w:sz w:val="24"/>
      <w:szCs w:val="24"/>
    </w:rPr>
  </w:style>
  <w:style w:type="paragraph" w:customStyle="1" w:styleId="222">
    <w:name w:val="Char Char Char1 Char Char Char Char"/>
    <w:basedOn w:val="1"/>
    <w:uiPriority w:val="0"/>
    <w:rPr>
      <w:rFonts w:ascii="Times New Roman" w:hAnsi="Times New Roman"/>
      <w:sz w:val="24"/>
      <w:szCs w:val="24"/>
    </w:rPr>
  </w:style>
  <w:style w:type="paragraph" w:customStyle="1" w:styleId="223">
    <w:name w:val="默认段落字体 Para Char"/>
    <w:basedOn w:val="1"/>
    <w:uiPriority w:val="0"/>
    <w:rPr>
      <w:rFonts w:ascii="Times New Roman" w:hAnsi="Times New Roman"/>
      <w:sz w:val="24"/>
      <w:szCs w:val="24"/>
    </w:rPr>
  </w:style>
  <w:style w:type="paragraph" w:customStyle="1" w:styleId="224">
    <w:name w:val="Char Char Char Char Char Char Char Char Char Char Char Char Char Char Char Char Char Char Char"/>
    <w:basedOn w:val="1"/>
    <w:uiPriority w:val="0"/>
    <w:rPr>
      <w:rFonts w:ascii="Times New Roman" w:hAnsi="Times New Roman"/>
      <w:sz w:val="24"/>
      <w:szCs w:val="24"/>
    </w:rPr>
  </w:style>
  <w:style w:type="paragraph" w:customStyle="1" w:styleId="225">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26">
    <w:name w:val="Char Char Char"/>
    <w:basedOn w:val="1"/>
    <w:uiPriority w:val="0"/>
    <w:rPr>
      <w:rFonts w:ascii="Times New Roman" w:hAnsi="Times New Roman"/>
      <w:sz w:val="24"/>
      <w:szCs w:val="24"/>
    </w:rPr>
  </w:style>
  <w:style w:type="paragraph" w:customStyle="1" w:styleId="227">
    <w:name w:val="Char Char Char Char"/>
    <w:basedOn w:val="1"/>
    <w:uiPriority w:val="0"/>
    <w:rPr>
      <w:rFonts w:ascii="Times New Roman" w:hAnsi="Times New Roman"/>
      <w:sz w:val="24"/>
      <w:szCs w:val="24"/>
    </w:rPr>
  </w:style>
  <w:style w:type="paragraph" w:customStyle="1" w:styleId="228">
    <w:name w:val="Char Char Char Char Char Char Char Char Char Char"/>
    <w:basedOn w:val="1"/>
    <w:uiPriority w:val="0"/>
    <w:rPr>
      <w:rFonts w:ascii="Times New Roman" w:hAnsi="Times New Roman"/>
      <w:sz w:val="24"/>
      <w:szCs w:val="24"/>
    </w:rPr>
  </w:style>
  <w:style w:type="paragraph" w:customStyle="1" w:styleId="229">
    <w:name w:val="表格式"/>
    <w:basedOn w:val="27"/>
    <w:uiPriority w:val="0"/>
    <w:pPr>
      <w:spacing w:beforeLines="50" w:afterLines="50" w:line="240" w:lineRule="exact"/>
    </w:pPr>
    <w:rPr>
      <w:rFonts w:ascii="Times New Roman" w:hAnsi="Times New Roman" w:eastAsia="宋体"/>
      <w:szCs w:val="20"/>
    </w:rPr>
  </w:style>
  <w:style w:type="paragraph" w:customStyle="1" w:styleId="230">
    <w:name w:val="简单回函地址"/>
    <w:basedOn w:val="1"/>
    <w:qFormat/>
    <w:uiPriority w:val="0"/>
    <w:rPr>
      <w:rFonts w:ascii="Times New Roman" w:hAnsi="Times New Roman"/>
      <w:sz w:val="24"/>
      <w:szCs w:val="20"/>
    </w:rPr>
  </w:style>
  <w:style w:type="paragraph" w:customStyle="1" w:styleId="231">
    <w:name w:val="默认段落字体 Para Char Char Char Char Char Char1 Char Char Char Char Char Char Char"/>
    <w:basedOn w:val="1"/>
    <w:uiPriority w:val="0"/>
    <w:rPr>
      <w:rFonts w:ascii="Times New Roman" w:hAnsi="Times New Roman"/>
      <w:sz w:val="24"/>
      <w:szCs w:val="24"/>
    </w:rPr>
  </w:style>
  <w:style w:type="paragraph" w:customStyle="1" w:styleId="232">
    <w:name w:val="默认段落字体 Para Char Char Char Char"/>
    <w:basedOn w:val="1"/>
    <w:qFormat/>
    <w:uiPriority w:val="0"/>
    <w:rPr>
      <w:rFonts w:ascii="Times New Roman" w:hAnsi="Times New Roman"/>
      <w:sz w:val="24"/>
      <w:szCs w:val="24"/>
    </w:rPr>
  </w:style>
  <w:style w:type="paragraph" w:customStyle="1" w:styleId="233">
    <w:name w:val="项目编号"/>
    <w:basedOn w:val="1"/>
    <w:next w:val="1"/>
    <w:qFormat/>
    <w:uiPriority w:val="0"/>
    <w:pPr>
      <w:spacing w:before="120" w:after="120" w:line="360" w:lineRule="auto"/>
    </w:pPr>
    <w:rPr>
      <w:rFonts w:ascii="Times New Roman" w:hAnsi="Times New Roman"/>
      <w:sz w:val="24"/>
      <w:szCs w:val="20"/>
    </w:rPr>
  </w:style>
  <w:style w:type="paragraph" w:customStyle="1" w:styleId="234">
    <w:name w:val="样式1"/>
    <w:basedOn w:val="1"/>
    <w:qFormat/>
    <w:uiPriority w:val="0"/>
    <w:pPr>
      <w:snapToGrid w:val="0"/>
      <w:spacing w:line="360" w:lineRule="auto"/>
      <w:ind w:left="-3" w:right="113" w:firstLine="495"/>
    </w:pPr>
    <w:rPr>
      <w:rFonts w:ascii="宋体" w:hAnsi="宋体"/>
      <w:color w:val="3366FF"/>
      <w:sz w:val="24"/>
      <w:szCs w:val="24"/>
    </w:rPr>
  </w:style>
  <w:style w:type="paragraph" w:customStyle="1" w:styleId="235">
    <w:name w:val="框图"/>
    <w:basedOn w:val="1"/>
    <w:qFormat/>
    <w:uiPriority w:val="0"/>
    <w:pPr>
      <w:adjustRightInd w:val="0"/>
      <w:snapToGrid w:val="0"/>
      <w:ind w:left="33" w:leftChars="-38" w:right="-80" w:rightChars="-38" w:hanging="113" w:hangingChars="54"/>
      <w:jc w:val="center"/>
    </w:pPr>
    <w:rPr>
      <w:rFonts w:ascii="宋体" w:hAnsi="宋体"/>
      <w:color w:val="000000"/>
      <w:szCs w:val="21"/>
    </w:rPr>
  </w:style>
  <w:style w:type="paragraph" w:customStyle="1" w:styleId="236">
    <w:name w:val="Char Char Char Char Char Char Char Char1 Char Char Char Char Char Char Char Char Char Char"/>
    <w:basedOn w:val="1"/>
    <w:qFormat/>
    <w:uiPriority w:val="0"/>
    <w:rPr>
      <w:rFonts w:ascii="Times New Roman" w:hAnsi="Times New Roman"/>
      <w:sz w:val="24"/>
      <w:szCs w:val="24"/>
    </w:rPr>
  </w:style>
  <w:style w:type="paragraph" w:customStyle="1" w:styleId="237">
    <w:name w:val="Char Char Char Char Char Char"/>
    <w:basedOn w:val="1"/>
    <w:qFormat/>
    <w:uiPriority w:val="0"/>
    <w:rPr>
      <w:rFonts w:ascii="Times New Roman" w:hAnsi="Times New Roman"/>
      <w:sz w:val="24"/>
      <w:szCs w:val="24"/>
    </w:rPr>
  </w:style>
  <w:style w:type="paragraph" w:customStyle="1" w:styleId="238">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9">
    <w:name w:val="Char Char Char Char Char Char Char Char Char Char Char1 Char Char Char Char Char Char Char Char Char Char Char Char Char Char Char Char"/>
    <w:basedOn w:val="1"/>
    <w:uiPriority w:val="0"/>
    <w:rPr>
      <w:rFonts w:ascii="Times New Roman" w:hAnsi="Times New Roman"/>
      <w:sz w:val="24"/>
      <w:szCs w:val="24"/>
    </w:rPr>
  </w:style>
  <w:style w:type="paragraph" w:customStyle="1" w:styleId="240">
    <w:name w:val="中文报告书样式"/>
    <w:basedOn w:val="1"/>
    <w:uiPriority w:val="99"/>
    <w:pPr>
      <w:adjustRightInd w:val="0"/>
      <w:snapToGrid w:val="0"/>
      <w:spacing w:line="360" w:lineRule="auto"/>
      <w:ind w:firstLine="480" w:firstLineChars="200"/>
      <w:textAlignment w:val="baseline"/>
    </w:pPr>
    <w:rPr>
      <w:rFonts w:ascii="Times New Roman" w:hAnsi="Times New Roman"/>
      <w:kern w:val="24"/>
      <w:sz w:val="24"/>
      <w:szCs w:val="24"/>
    </w:rPr>
  </w:style>
  <w:style w:type="paragraph" w:customStyle="1" w:styleId="241">
    <w:name w:val="正文 首行缩进:  2 字符"/>
    <w:basedOn w:val="1"/>
    <w:qFormat/>
    <w:uiPriority w:val="99"/>
    <w:pPr>
      <w:ind w:firstLine="579" w:firstLineChars="200"/>
    </w:pPr>
    <w:rPr>
      <w:rFonts w:ascii="Times New Roman" w:hAnsi="Times New Roman" w:eastAsia="等线" w:cs="宋体"/>
      <w:szCs w:val="20"/>
    </w:rPr>
  </w:style>
  <w:style w:type="paragraph" w:customStyle="1" w:styleId="242">
    <w:name w:val="1 正文"/>
    <w:basedOn w:val="1"/>
    <w:uiPriority w:val="0"/>
    <w:pPr>
      <w:adjustRightInd w:val="0"/>
      <w:snapToGrid w:val="0"/>
      <w:spacing w:line="360" w:lineRule="auto"/>
      <w:ind w:firstLine="200" w:firstLineChars="200"/>
    </w:pPr>
    <w:rPr>
      <w:rFonts w:ascii="Times New Roman" w:hAnsi="Times New Roman"/>
      <w:kern w:val="0"/>
      <w:sz w:val="24"/>
      <w:szCs w:val="20"/>
    </w:rPr>
  </w:style>
  <w:style w:type="character" w:customStyle="1" w:styleId="243">
    <w:name w:val="YY表格正文 Char"/>
    <w:uiPriority w:val="0"/>
    <w:rPr>
      <w:rFonts w:eastAsia="仿宋_GB2312"/>
      <w:color w:val="000000"/>
      <w:kern w:val="2"/>
      <w:sz w:val="21"/>
      <w:szCs w:val="21"/>
    </w:rPr>
  </w:style>
  <w:style w:type="paragraph" w:customStyle="1" w:styleId="244">
    <w:name w:val="表格字体"/>
    <w:basedOn w:val="1"/>
    <w:link w:val="247"/>
    <w:qFormat/>
    <w:uiPriority w:val="0"/>
    <w:pPr>
      <w:widowControl/>
      <w:jc w:val="center"/>
    </w:pPr>
    <w:rPr>
      <w:rFonts w:ascii="Times New Roman" w:hAnsi="Times New Roman"/>
      <w:szCs w:val="21"/>
    </w:rPr>
  </w:style>
  <w:style w:type="paragraph" w:customStyle="1" w:styleId="245">
    <w:name w:val="表格标题"/>
    <w:basedOn w:val="78"/>
    <w:link w:val="249"/>
    <w:qFormat/>
    <w:uiPriority w:val="0"/>
    <w:pPr>
      <w:spacing w:before="0" w:after="0" w:line="480" w:lineRule="exact"/>
    </w:pPr>
    <w:rPr>
      <w:b/>
      <w:bCs/>
      <w:szCs w:val="24"/>
    </w:rPr>
  </w:style>
  <w:style w:type="character" w:customStyle="1" w:styleId="246">
    <w:name w:val="正文lcc Char"/>
    <w:link w:val="82"/>
    <w:uiPriority w:val="0"/>
    <w:rPr>
      <w:color w:val="000000"/>
      <w:kern w:val="2"/>
      <w:sz w:val="24"/>
    </w:rPr>
  </w:style>
  <w:style w:type="character" w:customStyle="1" w:styleId="247">
    <w:name w:val="表格字体 Char"/>
    <w:link w:val="244"/>
    <w:uiPriority w:val="0"/>
    <w:rPr>
      <w:color w:val="000000"/>
      <w:kern w:val="2"/>
      <w:sz w:val="21"/>
      <w:szCs w:val="21"/>
    </w:rPr>
  </w:style>
  <w:style w:type="paragraph" w:customStyle="1" w:styleId="248">
    <w:name w:val="正 文"/>
    <w:basedOn w:val="62"/>
    <w:link w:val="252"/>
    <w:qFormat/>
    <w:uiPriority w:val="0"/>
    <w:pPr>
      <w:adjustRightInd w:val="0"/>
      <w:snapToGrid w:val="0"/>
      <w:ind w:firstLine="480"/>
    </w:pPr>
    <w:rPr>
      <w:color w:val="auto"/>
      <w:szCs w:val="24"/>
    </w:rPr>
  </w:style>
  <w:style w:type="character" w:customStyle="1" w:styleId="249">
    <w:name w:val="表格标题 Char"/>
    <w:link w:val="245"/>
    <w:uiPriority w:val="0"/>
    <w:rPr>
      <w:b/>
      <w:bCs/>
      <w:color w:val="000000"/>
      <w:kern w:val="2"/>
      <w:sz w:val="21"/>
      <w:szCs w:val="21"/>
    </w:rPr>
  </w:style>
  <w:style w:type="table" w:customStyle="1" w:styleId="250">
    <w:name w:val="样式3"/>
    <w:basedOn w:val="38"/>
    <w:uiPriority w:val="99"/>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251">
    <w:name w:val="正文加粗lcc Char"/>
    <w:link w:val="107"/>
    <w:uiPriority w:val="0"/>
    <w:rPr>
      <w:rFonts w:ascii="Times New Roman" w:hAnsi="Times New Roman"/>
      <w:b/>
      <w:color w:val="000000"/>
      <w:kern w:val="2"/>
      <w:sz w:val="24"/>
      <w:szCs w:val="22"/>
    </w:rPr>
  </w:style>
  <w:style w:type="character" w:customStyle="1" w:styleId="252">
    <w:name w:val="正 文 Char"/>
    <w:link w:val="248"/>
    <w:uiPriority w:val="0"/>
    <w:rPr>
      <w:kern w:val="2"/>
      <w:sz w:val="24"/>
      <w:szCs w:val="24"/>
    </w:rPr>
  </w:style>
  <w:style w:type="paragraph" w:customStyle="1" w:styleId="253">
    <w:name w:val="ECS表格文字"/>
    <w:basedOn w:val="1"/>
    <w:link w:val="254"/>
    <w:qFormat/>
    <w:uiPriority w:val="0"/>
    <w:pPr>
      <w:widowControl/>
      <w:adjustRightInd w:val="0"/>
      <w:snapToGrid w:val="0"/>
      <w:jc w:val="center"/>
    </w:pPr>
    <w:rPr>
      <w:rFonts w:ascii="Times New Roman" w:hAnsi="Times New Roman"/>
      <w:kern w:val="0"/>
      <w:szCs w:val="21"/>
    </w:rPr>
  </w:style>
  <w:style w:type="character" w:customStyle="1" w:styleId="254">
    <w:name w:val="ECS表格文字 Char"/>
    <w:link w:val="253"/>
    <w:qFormat/>
    <w:uiPriority w:val="0"/>
    <w:rPr>
      <w:sz w:val="21"/>
      <w:szCs w:val="21"/>
    </w:rPr>
  </w:style>
  <w:style w:type="paragraph" w:customStyle="1" w:styleId="255">
    <w:name w:val="Revision"/>
    <w:hidden/>
    <w:unhideWhenUsed/>
    <w:uiPriority w:val="99"/>
    <w:rPr>
      <w:rFonts w:ascii="Calibri" w:hAnsi="Calibri" w:eastAsia="宋体" w:cs="Times New Roman"/>
      <w:kern w:val="2"/>
      <w:sz w:val="21"/>
      <w:szCs w:val="22"/>
      <w:lang w:val="en-US" w:eastAsia="zh-CN" w:bidi="ar-SA"/>
    </w:rPr>
  </w:style>
  <w:style w:type="table" w:customStyle="1" w:styleId="256">
    <w:name w:val="lily 表格3"/>
    <w:basedOn w:val="3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3E707A-4D48-4D04-9DEF-5CA76B52E12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10702</Words>
  <Characters>61002</Characters>
  <Lines>508</Lines>
  <Paragraphs>143</Paragraphs>
  <TotalTime>6445</TotalTime>
  <ScaleCrop>false</ScaleCrop>
  <LinksUpToDate>false</LinksUpToDate>
  <CharactersWithSpaces>71561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2021-01-05T05:50:00Z</dcterms:created>
  <dc:creator>win7</dc:creator>
  <cp:lastModifiedBy>ZHOUYK</cp:lastModifiedBy>
  <cp:lastPrinted>2021-02-23T07:12:00Z</cp:lastPrinted>
  <dcterms:modified xsi:type="dcterms:W3CDTF">2021-03-05T06:27:58Z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